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39792387"/>
        <w:docPartObj>
          <w:docPartGallery w:val="Cover Pages"/>
          <w:docPartUnique/>
        </w:docPartObj>
      </w:sdtPr>
      <w:sdtEndPr/>
      <w:sdtContent>
        <w:p w14:paraId="02FDCC9B" w14:textId="77777777" w:rsidR="00943E9F" w:rsidRDefault="00943E9F"/>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05"/>
          </w:tblGrid>
          <w:tr w:rsidR="00943E9F" w14:paraId="390AD869" w14:textId="77777777">
            <w:sdt>
              <w:sdtPr>
                <w:rPr>
                  <w:color w:val="2F5496" w:themeColor="accent1" w:themeShade="BF"/>
                  <w:sz w:val="24"/>
                  <w:szCs w:val="24"/>
                </w:rPr>
                <w:alias w:val="Company"/>
                <w:id w:val="13406915"/>
                <w:placeholder>
                  <w:docPart w:val="398B8F53BFBB4DB68A1C7E7E258EC60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5D9F0836" w14:textId="77777777" w:rsidR="00943E9F" w:rsidRDefault="00943E9F">
                    <w:pPr>
                      <w:pStyle w:val="NoSpacing"/>
                      <w:rPr>
                        <w:color w:val="2F5496" w:themeColor="accent1" w:themeShade="BF"/>
                        <w:sz w:val="24"/>
                      </w:rPr>
                    </w:pPr>
                    <w:r>
                      <w:rPr>
                        <w:color w:val="2F5496" w:themeColor="accent1" w:themeShade="BF"/>
                        <w:sz w:val="24"/>
                        <w:szCs w:val="24"/>
                      </w:rPr>
                      <w:t>New Granville Limited Liability Partnership</w:t>
                    </w:r>
                  </w:p>
                </w:tc>
              </w:sdtContent>
            </w:sdt>
          </w:tr>
          <w:tr w:rsidR="00943E9F" w14:paraId="24C85891" w14:textId="77777777">
            <w:tc>
              <w:tcPr>
                <w:tcW w:w="7672" w:type="dxa"/>
              </w:tcPr>
              <w:sdt>
                <w:sdtPr>
                  <w:rPr>
                    <w:rFonts w:asciiTheme="majorHAnsi" w:eastAsiaTheme="majorEastAsia" w:hAnsiTheme="majorHAnsi" w:cstheme="majorBidi"/>
                    <w:color w:val="4472C4" w:themeColor="accent1"/>
                    <w:sz w:val="88"/>
                    <w:szCs w:val="88"/>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701D07FD" w14:textId="3B98E7DF" w:rsidR="00943E9F" w:rsidRDefault="0040571D">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Summary P</w:t>
                    </w:r>
                    <w:r w:rsidR="00943E9F">
                      <w:rPr>
                        <w:rFonts w:asciiTheme="majorHAnsi" w:eastAsiaTheme="majorEastAsia" w:hAnsiTheme="majorHAnsi" w:cstheme="majorBidi"/>
                        <w:color w:val="4472C4" w:themeColor="accent1"/>
                        <w:sz w:val="88"/>
                        <w:szCs w:val="88"/>
                      </w:rPr>
                      <w:t>roof of Evidence</w:t>
                    </w:r>
                  </w:p>
                </w:sdtContent>
              </w:sdt>
            </w:tc>
          </w:tr>
          <w:tr w:rsidR="00943E9F" w14:paraId="088C110C" w14:textId="77777777">
            <w:sdt>
              <w:sdtPr>
                <w:rPr>
                  <w:color w:val="2F5496" w:themeColor="accent1" w:themeShade="BF"/>
                  <w:sz w:val="24"/>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4FA7CA2" w14:textId="77777777" w:rsidR="00943E9F" w:rsidRDefault="00AC52C7">
                    <w:pPr>
                      <w:pStyle w:val="NoSpacing"/>
                      <w:rPr>
                        <w:color w:val="2F5496" w:themeColor="accent1" w:themeShade="BF"/>
                        <w:sz w:val="24"/>
                      </w:rPr>
                    </w:pPr>
                    <w:r>
                      <w:rPr>
                        <w:color w:val="2F5496" w:themeColor="accent1" w:themeShade="BF"/>
                        <w:sz w:val="24"/>
                        <w:szCs w:val="24"/>
                      </w:rPr>
                      <w:t>THE LONDON BOROUGH OF BARNET (GRANVILLE ROAD ESTATE) COMPULSORY PURCHASE ORDER 2018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40"/>
          </w:tblGrid>
          <w:tr w:rsidR="00D4013F" w14:paraId="5118F91E" w14:textId="77777777">
            <w:tc>
              <w:tcPr>
                <w:tcW w:w="7221" w:type="dxa"/>
                <w:tcMar>
                  <w:top w:w="216" w:type="dxa"/>
                  <w:left w:w="115" w:type="dxa"/>
                  <w:bottom w:w="216" w:type="dxa"/>
                  <w:right w:w="115" w:type="dxa"/>
                </w:tcMar>
              </w:tcPr>
              <w:p w14:paraId="681036F3" w14:textId="04C549B3" w:rsidR="00D4013F" w:rsidRDefault="001B79F6">
                <w:pPr>
                  <w:pStyle w:val="NoSpacing"/>
                  <w:rPr>
                    <w:color w:val="4472C4" w:themeColor="accent1"/>
                    <w:sz w:val="28"/>
                    <w:szCs w:val="28"/>
                  </w:rPr>
                </w:pPr>
                <w:r>
                  <w:rPr>
                    <w:color w:val="4472C4" w:themeColor="accent1"/>
                    <w:sz w:val="28"/>
                    <w:szCs w:val="28"/>
                  </w:rPr>
                  <w:t>Reference:</w:t>
                </w:r>
                <w:r w:rsidR="00D4013F">
                  <w:rPr>
                    <w:color w:val="4472C4" w:themeColor="accent1"/>
                    <w:sz w:val="28"/>
                    <w:szCs w:val="28"/>
                  </w:rPr>
                  <w:t xml:space="preserve"> </w:t>
                </w:r>
                <w:r w:rsidR="000D1624">
                  <w:rPr>
                    <w:color w:val="4472C4" w:themeColor="accent1"/>
                    <w:sz w:val="28"/>
                    <w:szCs w:val="28"/>
                  </w:rPr>
                  <w:t>AA/</w:t>
                </w:r>
                <w:r w:rsidR="00D4013F">
                  <w:rPr>
                    <w:color w:val="4472C4" w:themeColor="accent1"/>
                    <w:sz w:val="28"/>
                    <w:szCs w:val="28"/>
                  </w:rPr>
                  <w:t>RW</w:t>
                </w:r>
                <w:r w:rsidR="008B6700">
                  <w:rPr>
                    <w:color w:val="4472C4" w:themeColor="accent1"/>
                    <w:sz w:val="28"/>
                    <w:szCs w:val="28"/>
                  </w:rPr>
                  <w:t>2</w:t>
                </w:r>
                <w:r w:rsidR="00D4013F">
                  <w:rPr>
                    <w:color w:val="4472C4" w:themeColor="accent1"/>
                    <w:sz w:val="28"/>
                    <w:szCs w:val="28"/>
                  </w:rPr>
                  <w:t>.</w:t>
                </w:r>
                <w:r w:rsidR="008B6700">
                  <w:rPr>
                    <w:color w:val="4472C4" w:themeColor="accent1"/>
                    <w:sz w:val="28"/>
                    <w:szCs w:val="28"/>
                  </w:rPr>
                  <w:t>1</w:t>
                </w:r>
              </w:p>
            </w:tc>
          </w:tr>
          <w:tr w:rsidR="00943E9F" w14:paraId="79899E81" w14:textId="77777777">
            <w:tc>
              <w:tcPr>
                <w:tcW w:w="7221" w:type="dxa"/>
                <w:tcMar>
                  <w:top w:w="216" w:type="dxa"/>
                  <w:left w:w="115" w:type="dxa"/>
                  <w:bottom w:w="216" w:type="dxa"/>
                  <w:right w:w="115" w:type="dxa"/>
                </w:tcMar>
              </w:tcPr>
              <w:sdt>
                <w:sdtPr>
                  <w:rPr>
                    <w:color w:val="4472C4" w:themeColor="accent1"/>
                    <w:sz w:val="28"/>
                    <w:szCs w:val="28"/>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0076A3B3" w14:textId="77777777" w:rsidR="00943E9F" w:rsidRDefault="00D4013F">
                    <w:pPr>
                      <w:pStyle w:val="NoSpacing"/>
                      <w:rPr>
                        <w:color w:val="4472C4" w:themeColor="accent1"/>
                        <w:sz w:val="28"/>
                        <w:szCs w:val="28"/>
                      </w:rPr>
                    </w:pPr>
                    <w:r>
                      <w:rPr>
                        <w:color w:val="4472C4" w:themeColor="accent1"/>
                        <w:sz w:val="28"/>
                        <w:szCs w:val="28"/>
                      </w:rPr>
                      <w:t>Ross Williams</w:t>
                    </w:r>
                  </w:p>
                </w:sdtContent>
              </w:sdt>
              <w:p w14:paraId="6272AF31" w14:textId="61FFAA6B" w:rsidR="00943E9F" w:rsidRDefault="0040571D">
                <w:pPr>
                  <w:pStyle w:val="NoSpacing"/>
                  <w:rPr>
                    <w:color w:val="4472C4" w:themeColor="accent1"/>
                    <w:sz w:val="28"/>
                    <w:szCs w:val="28"/>
                  </w:rPr>
                </w:pPr>
                <w:r>
                  <w:rPr>
                    <w:color w:val="4472C4" w:themeColor="accent1"/>
                    <w:sz w:val="28"/>
                    <w:szCs w:val="28"/>
                  </w:rPr>
                  <w:t>June</w:t>
                </w:r>
                <w:r w:rsidR="00943E9F">
                  <w:rPr>
                    <w:color w:val="4472C4" w:themeColor="accent1"/>
                    <w:sz w:val="28"/>
                    <w:szCs w:val="28"/>
                  </w:rPr>
                  <w:t xml:space="preserve"> 2018</w:t>
                </w:r>
              </w:p>
              <w:p w14:paraId="64B7C83C" w14:textId="77777777" w:rsidR="00943E9F" w:rsidRDefault="00943E9F">
                <w:pPr>
                  <w:pStyle w:val="NoSpacing"/>
                  <w:rPr>
                    <w:color w:val="4472C4" w:themeColor="accent1"/>
                  </w:rPr>
                </w:pPr>
              </w:p>
            </w:tc>
          </w:tr>
        </w:tbl>
        <w:p w14:paraId="2F92AC9B" w14:textId="77777777" w:rsidR="00943E9F" w:rsidRDefault="00943E9F">
          <w:r>
            <w:br w:type="page"/>
          </w:r>
        </w:p>
      </w:sdtContent>
    </w:sdt>
    <w:sdt>
      <w:sdtPr>
        <w:rPr>
          <w:rFonts w:asciiTheme="minorHAnsi" w:eastAsiaTheme="minorHAnsi" w:hAnsiTheme="minorHAnsi" w:cstheme="minorBidi"/>
          <w:color w:val="auto"/>
          <w:sz w:val="22"/>
          <w:szCs w:val="22"/>
          <w:lang w:val="en-GB"/>
        </w:rPr>
        <w:id w:val="980197826"/>
        <w:docPartObj>
          <w:docPartGallery w:val="Table of Contents"/>
          <w:docPartUnique/>
        </w:docPartObj>
      </w:sdtPr>
      <w:sdtEndPr>
        <w:rPr>
          <w:b/>
          <w:bCs/>
          <w:noProof/>
        </w:rPr>
      </w:sdtEndPr>
      <w:sdtContent>
        <w:p w14:paraId="28F485F6" w14:textId="77777777" w:rsidR="00943E9F" w:rsidRDefault="00943E9F">
          <w:pPr>
            <w:pStyle w:val="TOCHeading"/>
          </w:pPr>
          <w:r>
            <w:t>Contents</w:t>
          </w:r>
        </w:p>
        <w:p w14:paraId="79C291C6" w14:textId="5D66C786" w:rsidR="000527F7" w:rsidRDefault="00943E9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16156319" w:history="1">
            <w:r w:rsidR="000527F7" w:rsidRPr="00B267D2">
              <w:rPr>
                <w:rStyle w:val="Hyperlink"/>
                <w:noProof/>
              </w:rPr>
              <w:t>1. Introduction</w:t>
            </w:r>
            <w:r w:rsidR="000527F7">
              <w:rPr>
                <w:noProof/>
                <w:webHidden/>
              </w:rPr>
              <w:tab/>
            </w:r>
            <w:r w:rsidR="000527F7">
              <w:rPr>
                <w:noProof/>
                <w:webHidden/>
              </w:rPr>
              <w:fldChar w:fldCharType="begin"/>
            </w:r>
            <w:r w:rsidR="000527F7">
              <w:rPr>
                <w:noProof/>
                <w:webHidden/>
              </w:rPr>
              <w:instrText xml:space="preserve"> PAGEREF _Toc516156319 \h </w:instrText>
            </w:r>
            <w:r w:rsidR="000527F7">
              <w:rPr>
                <w:noProof/>
                <w:webHidden/>
              </w:rPr>
            </w:r>
            <w:r w:rsidR="000527F7">
              <w:rPr>
                <w:noProof/>
                <w:webHidden/>
              </w:rPr>
              <w:fldChar w:fldCharType="separate"/>
            </w:r>
            <w:r w:rsidR="008D6439">
              <w:rPr>
                <w:noProof/>
                <w:webHidden/>
              </w:rPr>
              <w:t>2</w:t>
            </w:r>
            <w:r w:rsidR="000527F7">
              <w:rPr>
                <w:noProof/>
                <w:webHidden/>
              </w:rPr>
              <w:fldChar w:fldCharType="end"/>
            </w:r>
          </w:hyperlink>
        </w:p>
        <w:p w14:paraId="385F5C34" w14:textId="1121E123" w:rsidR="000527F7" w:rsidRDefault="008D6439">
          <w:pPr>
            <w:pStyle w:val="TOC1"/>
            <w:tabs>
              <w:tab w:val="right" w:leader="dot" w:pos="9016"/>
            </w:tabs>
            <w:rPr>
              <w:rFonts w:eastAsiaTheme="minorEastAsia"/>
              <w:noProof/>
              <w:lang w:eastAsia="en-GB"/>
            </w:rPr>
          </w:pPr>
          <w:hyperlink w:anchor="_Toc516156320" w:history="1">
            <w:r w:rsidR="000527F7" w:rsidRPr="00B267D2">
              <w:rPr>
                <w:rStyle w:val="Hyperlink"/>
                <w:noProof/>
              </w:rPr>
              <w:t>2. Scope of Evidence</w:t>
            </w:r>
            <w:r w:rsidR="000527F7">
              <w:rPr>
                <w:noProof/>
                <w:webHidden/>
              </w:rPr>
              <w:tab/>
            </w:r>
            <w:r w:rsidR="000527F7">
              <w:rPr>
                <w:noProof/>
                <w:webHidden/>
              </w:rPr>
              <w:fldChar w:fldCharType="begin"/>
            </w:r>
            <w:r w:rsidR="000527F7">
              <w:rPr>
                <w:noProof/>
                <w:webHidden/>
              </w:rPr>
              <w:instrText xml:space="preserve"> PAGEREF _Toc516156320 \h </w:instrText>
            </w:r>
            <w:r w:rsidR="000527F7">
              <w:rPr>
                <w:noProof/>
                <w:webHidden/>
              </w:rPr>
            </w:r>
            <w:r w:rsidR="000527F7">
              <w:rPr>
                <w:noProof/>
                <w:webHidden/>
              </w:rPr>
              <w:fldChar w:fldCharType="separate"/>
            </w:r>
            <w:r>
              <w:rPr>
                <w:noProof/>
                <w:webHidden/>
              </w:rPr>
              <w:t>3</w:t>
            </w:r>
            <w:r w:rsidR="000527F7">
              <w:rPr>
                <w:noProof/>
                <w:webHidden/>
              </w:rPr>
              <w:fldChar w:fldCharType="end"/>
            </w:r>
          </w:hyperlink>
        </w:p>
        <w:p w14:paraId="3D6119B9" w14:textId="7149F050" w:rsidR="000527F7" w:rsidRDefault="008D6439">
          <w:pPr>
            <w:pStyle w:val="TOC1"/>
            <w:tabs>
              <w:tab w:val="right" w:leader="dot" w:pos="9016"/>
            </w:tabs>
            <w:rPr>
              <w:rFonts w:eastAsiaTheme="minorEastAsia"/>
              <w:noProof/>
              <w:lang w:eastAsia="en-GB"/>
            </w:rPr>
          </w:pPr>
          <w:hyperlink w:anchor="_Toc516156321" w:history="1">
            <w:r w:rsidR="000527F7" w:rsidRPr="00B267D2">
              <w:rPr>
                <w:rStyle w:val="Hyperlink"/>
                <w:noProof/>
              </w:rPr>
              <w:t>3. The Developer</w:t>
            </w:r>
            <w:r w:rsidR="000527F7">
              <w:rPr>
                <w:noProof/>
                <w:webHidden/>
              </w:rPr>
              <w:tab/>
            </w:r>
            <w:r w:rsidR="000527F7">
              <w:rPr>
                <w:noProof/>
                <w:webHidden/>
              </w:rPr>
              <w:fldChar w:fldCharType="begin"/>
            </w:r>
            <w:r w:rsidR="000527F7">
              <w:rPr>
                <w:noProof/>
                <w:webHidden/>
              </w:rPr>
              <w:instrText xml:space="preserve"> PAGEREF _Toc516156321 \h </w:instrText>
            </w:r>
            <w:r w:rsidR="000527F7">
              <w:rPr>
                <w:noProof/>
                <w:webHidden/>
              </w:rPr>
            </w:r>
            <w:r w:rsidR="000527F7">
              <w:rPr>
                <w:noProof/>
                <w:webHidden/>
              </w:rPr>
              <w:fldChar w:fldCharType="separate"/>
            </w:r>
            <w:r>
              <w:rPr>
                <w:noProof/>
                <w:webHidden/>
              </w:rPr>
              <w:t>4</w:t>
            </w:r>
            <w:r w:rsidR="000527F7">
              <w:rPr>
                <w:noProof/>
                <w:webHidden/>
              </w:rPr>
              <w:fldChar w:fldCharType="end"/>
            </w:r>
          </w:hyperlink>
        </w:p>
        <w:p w14:paraId="51249816" w14:textId="415562B1" w:rsidR="000527F7" w:rsidRDefault="008D6439">
          <w:pPr>
            <w:pStyle w:val="TOC1"/>
            <w:tabs>
              <w:tab w:val="right" w:leader="dot" w:pos="9016"/>
            </w:tabs>
            <w:rPr>
              <w:rFonts w:eastAsiaTheme="minorEastAsia"/>
              <w:noProof/>
              <w:lang w:eastAsia="en-GB"/>
            </w:rPr>
          </w:pPr>
          <w:hyperlink w:anchor="_Toc516156322" w:history="1">
            <w:r w:rsidR="000527F7" w:rsidRPr="00B267D2">
              <w:rPr>
                <w:rStyle w:val="Hyperlink"/>
                <w:noProof/>
              </w:rPr>
              <w:t>4. Arrangements between the Developer and the Council</w:t>
            </w:r>
            <w:r w:rsidR="000527F7">
              <w:rPr>
                <w:noProof/>
                <w:webHidden/>
              </w:rPr>
              <w:tab/>
            </w:r>
            <w:r w:rsidR="000527F7">
              <w:rPr>
                <w:noProof/>
                <w:webHidden/>
              </w:rPr>
              <w:fldChar w:fldCharType="begin"/>
            </w:r>
            <w:r w:rsidR="000527F7">
              <w:rPr>
                <w:noProof/>
                <w:webHidden/>
              </w:rPr>
              <w:instrText xml:space="preserve"> PAGEREF _Toc516156322 \h </w:instrText>
            </w:r>
            <w:r w:rsidR="000527F7">
              <w:rPr>
                <w:noProof/>
                <w:webHidden/>
              </w:rPr>
            </w:r>
            <w:r w:rsidR="000527F7">
              <w:rPr>
                <w:noProof/>
                <w:webHidden/>
              </w:rPr>
              <w:fldChar w:fldCharType="separate"/>
            </w:r>
            <w:r>
              <w:rPr>
                <w:noProof/>
                <w:webHidden/>
              </w:rPr>
              <w:t>5</w:t>
            </w:r>
            <w:r w:rsidR="000527F7">
              <w:rPr>
                <w:noProof/>
                <w:webHidden/>
              </w:rPr>
              <w:fldChar w:fldCharType="end"/>
            </w:r>
          </w:hyperlink>
        </w:p>
        <w:p w14:paraId="03EB6195" w14:textId="45151C77" w:rsidR="000527F7" w:rsidRDefault="008D6439">
          <w:pPr>
            <w:pStyle w:val="TOC1"/>
            <w:tabs>
              <w:tab w:val="right" w:leader="dot" w:pos="9016"/>
            </w:tabs>
            <w:rPr>
              <w:rFonts w:eastAsiaTheme="minorEastAsia"/>
              <w:noProof/>
              <w:lang w:eastAsia="en-GB"/>
            </w:rPr>
          </w:pPr>
          <w:hyperlink w:anchor="_Toc516156323" w:history="1">
            <w:r w:rsidR="000527F7" w:rsidRPr="00B267D2">
              <w:rPr>
                <w:rStyle w:val="Hyperlink"/>
                <w:noProof/>
              </w:rPr>
              <w:t>5. Scheme Description</w:t>
            </w:r>
            <w:r w:rsidR="000527F7">
              <w:rPr>
                <w:noProof/>
                <w:webHidden/>
              </w:rPr>
              <w:tab/>
            </w:r>
            <w:r w:rsidR="000527F7">
              <w:rPr>
                <w:noProof/>
                <w:webHidden/>
              </w:rPr>
              <w:fldChar w:fldCharType="begin"/>
            </w:r>
            <w:r w:rsidR="000527F7">
              <w:rPr>
                <w:noProof/>
                <w:webHidden/>
              </w:rPr>
              <w:instrText xml:space="preserve"> PAGEREF _Toc516156323 \h </w:instrText>
            </w:r>
            <w:r w:rsidR="000527F7">
              <w:rPr>
                <w:noProof/>
                <w:webHidden/>
              </w:rPr>
            </w:r>
            <w:r w:rsidR="000527F7">
              <w:rPr>
                <w:noProof/>
                <w:webHidden/>
              </w:rPr>
              <w:fldChar w:fldCharType="separate"/>
            </w:r>
            <w:r>
              <w:rPr>
                <w:noProof/>
                <w:webHidden/>
              </w:rPr>
              <w:t>6</w:t>
            </w:r>
            <w:r w:rsidR="000527F7">
              <w:rPr>
                <w:noProof/>
                <w:webHidden/>
              </w:rPr>
              <w:fldChar w:fldCharType="end"/>
            </w:r>
          </w:hyperlink>
        </w:p>
        <w:p w14:paraId="780B3F95" w14:textId="392F0191" w:rsidR="000527F7" w:rsidRDefault="008D6439">
          <w:pPr>
            <w:pStyle w:val="TOC1"/>
            <w:tabs>
              <w:tab w:val="right" w:leader="dot" w:pos="9016"/>
            </w:tabs>
            <w:rPr>
              <w:rFonts w:eastAsiaTheme="minorEastAsia"/>
              <w:noProof/>
              <w:lang w:eastAsia="en-GB"/>
            </w:rPr>
          </w:pPr>
          <w:hyperlink w:anchor="_Toc516156324" w:history="1">
            <w:r w:rsidR="000527F7" w:rsidRPr="00B267D2">
              <w:rPr>
                <w:rStyle w:val="Hyperlink"/>
                <w:noProof/>
              </w:rPr>
              <w:t>6. The Developer’s Commitment to Delivery</w:t>
            </w:r>
            <w:r w:rsidR="000527F7">
              <w:rPr>
                <w:noProof/>
                <w:webHidden/>
              </w:rPr>
              <w:tab/>
            </w:r>
            <w:r w:rsidR="000527F7">
              <w:rPr>
                <w:noProof/>
                <w:webHidden/>
              </w:rPr>
              <w:fldChar w:fldCharType="begin"/>
            </w:r>
            <w:r w:rsidR="000527F7">
              <w:rPr>
                <w:noProof/>
                <w:webHidden/>
              </w:rPr>
              <w:instrText xml:space="preserve"> PAGEREF _Toc516156324 \h </w:instrText>
            </w:r>
            <w:r w:rsidR="000527F7">
              <w:rPr>
                <w:noProof/>
                <w:webHidden/>
              </w:rPr>
            </w:r>
            <w:r w:rsidR="000527F7">
              <w:rPr>
                <w:noProof/>
                <w:webHidden/>
              </w:rPr>
              <w:fldChar w:fldCharType="separate"/>
            </w:r>
            <w:r>
              <w:rPr>
                <w:noProof/>
                <w:webHidden/>
              </w:rPr>
              <w:t>7</w:t>
            </w:r>
            <w:r w:rsidR="000527F7">
              <w:rPr>
                <w:noProof/>
                <w:webHidden/>
              </w:rPr>
              <w:fldChar w:fldCharType="end"/>
            </w:r>
          </w:hyperlink>
        </w:p>
        <w:p w14:paraId="629328A5" w14:textId="70CBCC71" w:rsidR="000527F7" w:rsidRDefault="008D6439">
          <w:pPr>
            <w:pStyle w:val="TOC1"/>
            <w:tabs>
              <w:tab w:val="right" w:leader="dot" w:pos="9016"/>
            </w:tabs>
            <w:rPr>
              <w:rFonts w:eastAsiaTheme="minorEastAsia"/>
              <w:noProof/>
              <w:lang w:eastAsia="en-GB"/>
            </w:rPr>
          </w:pPr>
          <w:hyperlink w:anchor="_Toc516156325" w:history="1">
            <w:r w:rsidR="000527F7" w:rsidRPr="00B267D2">
              <w:rPr>
                <w:rStyle w:val="Hyperlink"/>
                <w:noProof/>
              </w:rPr>
              <w:t>7. Conclusion</w:t>
            </w:r>
            <w:r w:rsidR="000527F7">
              <w:rPr>
                <w:noProof/>
                <w:webHidden/>
              </w:rPr>
              <w:tab/>
            </w:r>
            <w:r w:rsidR="000527F7">
              <w:rPr>
                <w:noProof/>
                <w:webHidden/>
              </w:rPr>
              <w:fldChar w:fldCharType="begin"/>
            </w:r>
            <w:r w:rsidR="000527F7">
              <w:rPr>
                <w:noProof/>
                <w:webHidden/>
              </w:rPr>
              <w:instrText xml:space="preserve"> PAGEREF _Toc516156325 \h </w:instrText>
            </w:r>
            <w:r w:rsidR="000527F7">
              <w:rPr>
                <w:noProof/>
                <w:webHidden/>
              </w:rPr>
            </w:r>
            <w:r w:rsidR="000527F7">
              <w:rPr>
                <w:noProof/>
                <w:webHidden/>
              </w:rPr>
              <w:fldChar w:fldCharType="separate"/>
            </w:r>
            <w:r>
              <w:rPr>
                <w:noProof/>
                <w:webHidden/>
              </w:rPr>
              <w:t>8</w:t>
            </w:r>
            <w:r w:rsidR="000527F7">
              <w:rPr>
                <w:noProof/>
                <w:webHidden/>
              </w:rPr>
              <w:fldChar w:fldCharType="end"/>
            </w:r>
          </w:hyperlink>
        </w:p>
        <w:p w14:paraId="4F5567D1" w14:textId="183664B7" w:rsidR="00943E9F" w:rsidRDefault="00943E9F">
          <w:r>
            <w:rPr>
              <w:b/>
              <w:bCs/>
              <w:noProof/>
            </w:rPr>
            <w:fldChar w:fldCharType="end"/>
          </w:r>
        </w:p>
      </w:sdtContent>
    </w:sdt>
    <w:p w14:paraId="1A7CA6A7" w14:textId="77777777" w:rsidR="00695824" w:rsidRDefault="00417D9D">
      <w:r>
        <w:tab/>
      </w:r>
      <w:r w:rsidR="00695824">
        <w:br w:type="page"/>
      </w:r>
    </w:p>
    <w:p w14:paraId="3B121375" w14:textId="77777777" w:rsidR="001F649D" w:rsidRDefault="00695824" w:rsidP="00695824">
      <w:pPr>
        <w:pStyle w:val="Heading1"/>
      </w:pPr>
      <w:bookmarkStart w:id="0" w:name="_Toc516156319"/>
      <w:r>
        <w:lastRenderedPageBreak/>
        <w:t>1. Introduction</w:t>
      </w:r>
      <w:bookmarkEnd w:id="0"/>
    </w:p>
    <w:p w14:paraId="3F815196" w14:textId="77777777" w:rsidR="00417D9D" w:rsidRPr="00417D9D" w:rsidRDefault="00417D9D" w:rsidP="00417D9D">
      <w:pPr>
        <w:rPr>
          <w:b/>
        </w:rPr>
      </w:pPr>
      <w:r w:rsidRPr="00417D9D">
        <w:rPr>
          <w:b/>
        </w:rPr>
        <w:t>Personal Details</w:t>
      </w:r>
    </w:p>
    <w:p w14:paraId="5F23B86A" w14:textId="108E77FF" w:rsidR="00417D9D" w:rsidRDefault="00417D9D" w:rsidP="00417D9D">
      <w:pPr>
        <w:ind w:left="720" w:hanging="720"/>
      </w:pPr>
      <w:r>
        <w:t>1.1</w:t>
      </w:r>
      <w:r>
        <w:tab/>
        <w:t xml:space="preserve">My name is Ross Williams. I am the Development Manager for the Granville Road regeneration project and have been in this role for 2 years. I am responsible on behalf of New Granville LLP for the delivery of the regeneration of </w:t>
      </w:r>
      <w:r w:rsidR="00D4013F">
        <w:t xml:space="preserve">the </w:t>
      </w:r>
      <w:r w:rsidR="001A6E5E">
        <w:t>Phase 2 Scheme,</w:t>
      </w:r>
      <w:r>
        <w:t xml:space="preserve"> including managing the Development Agreement and stakeholder and community engagement.</w:t>
      </w:r>
    </w:p>
    <w:p w14:paraId="78669AF0" w14:textId="77777777" w:rsidR="00417D9D" w:rsidRDefault="00417D9D" w:rsidP="00417D9D">
      <w:pPr>
        <w:ind w:left="720" w:hanging="720"/>
      </w:pPr>
      <w:r>
        <w:t>1.2</w:t>
      </w:r>
      <w:r>
        <w:tab/>
        <w:t xml:space="preserve">I hold the following qualifications: BSc. (Hons) Geography and Planning, MSc. Real Estate and Property Management. </w:t>
      </w:r>
    </w:p>
    <w:p w14:paraId="1352E0A0" w14:textId="6BE83139" w:rsidR="00417D9D" w:rsidRDefault="00D85780" w:rsidP="00417D9D">
      <w:pPr>
        <w:ind w:left="720" w:hanging="720"/>
      </w:pPr>
      <w:r>
        <w:t>1.3</w:t>
      </w:r>
      <w:r>
        <w:tab/>
        <w:t>I have 4 years’ experience</w:t>
      </w:r>
      <w:r w:rsidR="00417D9D">
        <w:t xml:space="preserve"> in delivering regeneration schemes with </w:t>
      </w:r>
      <w:proofErr w:type="spellStart"/>
      <w:r w:rsidR="00417D9D" w:rsidRPr="005F1D38">
        <w:t>Sherrygreen</w:t>
      </w:r>
      <w:proofErr w:type="spellEnd"/>
      <w:r w:rsidR="00417D9D" w:rsidRPr="005F1D38">
        <w:t xml:space="preserve"> Homes</w:t>
      </w:r>
      <w:r w:rsidR="00D4013F">
        <w:t xml:space="preserve"> Limited</w:t>
      </w:r>
      <w:r w:rsidR="00417D9D">
        <w:t xml:space="preserve"> and</w:t>
      </w:r>
      <w:r w:rsidR="00D4013F">
        <w:t xml:space="preserve"> have</w:t>
      </w:r>
      <w:r w:rsidR="00417D9D">
        <w:t xml:space="preserve"> work</w:t>
      </w:r>
      <w:r w:rsidR="00D4013F">
        <w:t>ed</w:t>
      </w:r>
      <w:r w:rsidR="00417D9D">
        <w:t xml:space="preserve"> </w:t>
      </w:r>
      <w:r w:rsidR="00AA54EF">
        <w:t xml:space="preserve">on the delivery of this project along with the delivery of a 517 unit, mixed use scheme in the London Borough of Enfield. </w:t>
      </w:r>
    </w:p>
    <w:p w14:paraId="6D802247" w14:textId="77777777" w:rsidR="00417D9D" w:rsidRDefault="00417D9D" w:rsidP="00417D9D">
      <w:pPr>
        <w:ind w:left="720" w:hanging="720"/>
      </w:pPr>
      <w:r w:rsidRPr="005F1D38">
        <w:t xml:space="preserve">1.4 </w:t>
      </w:r>
      <w:r w:rsidRPr="005F1D38">
        <w:tab/>
      </w:r>
      <w:proofErr w:type="spellStart"/>
      <w:r w:rsidR="005F1D38" w:rsidRPr="005F1D38">
        <w:t>Sh</w:t>
      </w:r>
      <w:r w:rsidR="005F1D38">
        <w:t>errygreen</w:t>
      </w:r>
      <w:proofErr w:type="spellEnd"/>
      <w:r w:rsidR="005F1D38">
        <w:t xml:space="preserve"> Homes are part of the </w:t>
      </w:r>
      <w:proofErr w:type="spellStart"/>
      <w:r w:rsidR="005F1D38">
        <w:t>Sherrygreen</w:t>
      </w:r>
      <w:proofErr w:type="spellEnd"/>
      <w:r w:rsidR="005F1D38">
        <w:t xml:space="preserve"> Group of companies and are undertaking the development management aspect of this project.</w:t>
      </w:r>
    </w:p>
    <w:p w14:paraId="67AFFAEC" w14:textId="77777777" w:rsidR="00417D9D" w:rsidRPr="00417D9D" w:rsidRDefault="00417D9D" w:rsidP="00417D9D">
      <w:pPr>
        <w:rPr>
          <w:b/>
        </w:rPr>
      </w:pPr>
      <w:r w:rsidRPr="00417D9D">
        <w:rPr>
          <w:b/>
        </w:rPr>
        <w:t>Role in relation to Scheme</w:t>
      </w:r>
    </w:p>
    <w:p w14:paraId="653A16C2" w14:textId="031EEBB4" w:rsidR="00417D9D" w:rsidRDefault="00417D9D" w:rsidP="00417D9D">
      <w:r>
        <w:t>1.5        My responsibility in regard to the</w:t>
      </w:r>
      <w:r w:rsidR="00D4013F">
        <w:t xml:space="preserve"> Phase 2</w:t>
      </w:r>
      <w:r>
        <w:t xml:space="preserve"> Scheme covers:</w:t>
      </w:r>
    </w:p>
    <w:p w14:paraId="00880751" w14:textId="77777777" w:rsidR="00417D9D" w:rsidRDefault="00417D9D" w:rsidP="00417D9D">
      <w:pPr>
        <w:pStyle w:val="ListParagraph"/>
        <w:numPr>
          <w:ilvl w:val="0"/>
          <w:numId w:val="2"/>
        </w:numPr>
        <w:ind w:left="1077"/>
        <w:contextualSpacing w:val="0"/>
      </w:pPr>
      <w:r>
        <w:t>Managing the Principal Development Agreement, including the performance of the Developer’s obligations under it.</w:t>
      </w:r>
    </w:p>
    <w:p w14:paraId="7D8D650C" w14:textId="03A7C6AC" w:rsidR="00417D9D" w:rsidRPr="005F1D38" w:rsidRDefault="00417D9D" w:rsidP="00417D9D">
      <w:pPr>
        <w:pStyle w:val="ListParagraph"/>
        <w:numPr>
          <w:ilvl w:val="0"/>
          <w:numId w:val="2"/>
        </w:numPr>
        <w:ind w:left="1077"/>
        <w:contextualSpacing w:val="0"/>
      </w:pPr>
      <w:r w:rsidRPr="005F1D38">
        <w:t>Managing</w:t>
      </w:r>
      <w:r w:rsidR="00C44019">
        <w:t xml:space="preserve"> and</w:t>
      </w:r>
      <w:r w:rsidRPr="005F1D38">
        <w:t xml:space="preserve"> </w:t>
      </w:r>
      <w:r w:rsidR="005F1D38">
        <w:t>coordinating the wider project team</w:t>
      </w:r>
      <w:r w:rsidRPr="005F1D38">
        <w:t>.</w:t>
      </w:r>
    </w:p>
    <w:p w14:paraId="346A6729" w14:textId="497A32EE" w:rsidR="00417D9D" w:rsidRDefault="00417D9D" w:rsidP="00417D9D">
      <w:pPr>
        <w:pStyle w:val="ListParagraph"/>
        <w:numPr>
          <w:ilvl w:val="0"/>
          <w:numId w:val="2"/>
        </w:numPr>
        <w:ind w:left="1077"/>
        <w:contextualSpacing w:val="0"/>
      </w:pPr>
      <w:r w:rsidRPr="005F1D38">
        <w:t>Reporting to the LLP’s Board quarterly on contractual and financial matters.</w:t>
      </w:r>
    </w:p>
    <w:p w14:paraId="71046130" w14:textId="77777777" w:rsidR="005F1D38" w:rsidRDefault="005F1D38" w:rsidP="00417D9D">
      <w:pPr>
        <w:pStyle w:val="ListParagraph"/>
        <w:numPr>
          <w:ilvl w:val="0"/>
          <w:numId w:val="2"/>
        </w:numPr>
        <w:ind w:left="1077"/>
        <w:contextualSpacing w:val="0"/>
      </w:pPr>
      <w:r>
        <w:t>Maintaining development risk registers and managing all project risks and issues.</w:t>
      </w:r>
    </w:p>
    <w:p w14:paraId="501171B6" w14:textId="77777777" w:rsidR="005F1D38" w:rsidRDefault="005F1D38" w:rsidP="00417D9D">
      <w:pPr>
        <w:pStyle w:val="ListParagraph"/>
        <w:numPr>
          <w:ilvl w:val="0"/>
          <w:numId w:val="2"/>
        </w:numPr>
        <w:ind w:left="1077"/>
        <w:contextualSpacing w:val="0"/>
      </w:pPr>
      <w:r>
        <w:t>Managing delivery in line with the scheme’s development programme.</w:t>
      </w:r>
    </w:p>
    <w:p w14:paraId="484435F3" w14:textId="77777777" w:rsidR="005F1D38" w:rsidRPr="005F1D38" w:rsidRDefault="005F1D38" w:rsidP="005F1D38">
      <w:pPr>
        <w:pStyle w:val="ListParagraph"/>
        <w:ind w:left="1077"/>
        <w:contextualSpacing w:val="0"/>
      </w:pPr>
    </w:p>
    <w:p w14:paraId="7BD67527" w14:textId="77777777" w:rsidR="005F1D38" w:rsidRDefault="005F1D38" w:rsidP="005F1D38">
      <w:pPr>
        <w:spacing w:before="0" w:after="160"/>
        <w:rPr>
          <w:highlight w:val="yellow"/>
        </w:rPr>
      </w:pPr>
      <w:r>
        <w:rPr>
          <w:highlight w:val="yellow"/>
        </w:rPr>
        <w:br w:type="page"/>
      </w:r>
    </w:p>
    <w:p w14:paraId="6D595D1D" w14:textId="77777777" w:rsidR="00F72296" w:rsidRDefault="00417D9D" w:rsidP="00417D9D">
      <w:pPr>
        <w:pStyle w:val="Heading1"/>
      </w:pPr>
      <w:bookmarkStart w:id="1" w:name="_Toc516156320"/>
      <w:r w:rsidRPr="00417D9D">
        <w:lastRenderedPageBreak/>
        <w:t>2. Scope of Evidence</w:t>
      </w:r>
      <w:bookmarkEnd w:id="1"/>
    </w:p>
    <w:p w14:paraId="18561CCC" w14:textId="77777777" w:rsidR="00F72296" w:rsidRDefault="00F72296" w:rsidP="00F72296">
      <w:r>
        <w:t>2.1        In my evidence I will</w:t>
      </w:r>
      <w:r w:rsidR="006D4428">
        <w:t>:</w:t>
      </w:r>
    </w:p>
    <w:p w14:paraId="3A9B69F1" w14:textId="77777777" w:rsidR="00F72296" w:rsidRDefault="00F72296" w:rsidP="001771CD">
      <w:pPr>
        <w:ind w:left="720"/>
      </w:pPr>
      <w:r>
        <w:t>I.      Describe the structure of the Developer and its arrangements with the Council</w:t>
      </w:r>
    </w:p>
    <w:p w14:paraId="773C265A" w14:textId="77777777" w:rsidR="00F72296" w:rsidRDefault="00F72296" w:rsidP="001771CD">
      <w:pPr>
        <w:ind w:left="720"/>
      </w:pPr>
      <w:r>
        <w:t>II.      Describe the experience of the Developer</w:t>
      </w:r>
    </w:p>
    <w:p w14:paraId="599848CC" w14:textId="77777777" w:rsidR="00F72296" w:rsidRDefault="00F72296" w:rsidP="001771CD">
      <w:pPr>
        <w:ind w:left="720"/>
      </w:pPr>
      <w:r>
        <w:t>III.      Describe the Scheme and the project phasing</w:t>
      </w:r>
    </w:p>
    <w:p w14:paraId="422DAEEC" w14:textId="77777777" w:rsidR="00F72296" w:rsidRDefault="00F72296" w:rsidP="001771CD">
      <w:pPr>
        <w:ind w:left="720"/>
      </w:pPr>
      <w:r>
        <w:t>IV.      Confirm the Developer’s commitment to delivery</w:t>
      </w:r>
    </w:p>
    <w:p w14:paraId="6D9C7464" w14:textId="77777777" w:rsidR="006D4428" w:rsidRDefault="006D4428" w:rsidP="006D4428"/>
    <w:p w14:paraId="262A064F" w14:textId="77777777" w:rsidR="006D4428" w:rsidRDefault="006D4428" w:rsidP="006D4428">
      <w:pPr>
        <w:tabs>
          <w:tab w:val="left" w:pos="3310"/>
        </w:tabs>
      </w:pPr>
      <w:r>
        <w:tab/>
      </w:r>
    </w:p>
    <w:p w14:paraId="3540C06B" w14:textId="77777777" w:rsidR="006D4428" w:rsidRDefault="006D4428">
      <w:pPr>
        <w:spacing w:before="0" w:after="160"/>
      </w:pPr>
      <w:r>
        <w:br w:type="page"/>
      </w:r>
    </w:p>
    <w:p w14:paraId="102299CC" w14:textId="77777777" w:rsidR="00F72296" w:rsidRDefault="006D4428" w:rsidP="006D4428">
      <w:pPr>
        <w:pStyle w:val="Heading1"/>
      </w:pPr>
      <w:bookmarkStart w:id="2" w:name="_Toc516156321"/>
      <w:r>
        <w:lastRenderedPageBreak/>
        <w:t>3. The Developer</w:t>
      </w:r>
      <w:bookmarkEnd w:id="2"/>
    </w:p>
    <w:p w14:paraId="1A72E12E" w14:textId="0C00A119" w:rsidR="001771CD" w:rsidRPr="001A6E5E" w:rsidRDefault="001771CD" w:rsidP="001771CD">
      <w:pPr>
        <w:ind w:left="720" w:hanging="720"/>
      </w:pPr>
      <w:r w:rsidRPr="001A6E5E">
        <w:t>3.1</w:t>
      </w:r>
      <w:r w:rsidRPr="001A6E5E">
        <w:tab/>
        <w:t>The Regeneration Project is being and will continue to be delivered by the Council’s development partner, New Granville Limited Liability Partnership, (the Developer</w:t>
      </w:r>
      <w:r w:rsidR="001A6E5E" w:rsidRPr="001A6E5E">
        <w:t>)</w:t>
      </w:r>
      <w:r w:rsidRPr="001A6E5E">
        <w:t>.</w:t>
      </w:r>
    </w:p>
    <w:p w14:paraId="5FD050C3" w14:textId="4085C251" w:rsidR="00D4013F" w:rsidRPr="001A6E5E" w:rsidRDefault="001771CD" w:rsidP="00900A27">
      <w:pPr>
        <w:ind w:left="720" w:hanging="720"/>
      </w:pPr>
      <w:r w:rsidRPr="001A6E5E">
        <w:t>3.2</w:t>
      </w:r>
      <w:r w:rsidRPr="001A6E5E">
        <w:tab/>
      </w:r>
      <w:r w:rsidR="0004595A" w:rsidRPr="001A6E5E">
        <w:t xml:space="preserve">New </w:t>
      </w:r>
      <w:r w:rsidR="00D4013F" w:rsidRPr="001A6E5E">
        <w:t xml:space="preserve">Granville Limited </w:t>
      </w:r>
      <w:r w:rsidR="0004595A" w:rsidRPr="001A6E5E">
        <w:t xml:space="preserve">is formed of two partners, </w:t>
      </w:r>
      <w:proofErr w:type="spellStart"/>
      <w:r w:rsidR="0004595A" w:rsidRPr="001A6E5E">
        <w:t>Mulalley</w:t>
      </w:r>
      <w:proofErr w:type="spellEnd"/>
      <w:r w:rsidR="0004595A" w:rsidRPr="001A6E5E">
        <w:t xml:space="preserve"> and One Housing Group. </w:t>
      </w:r>
      <w:proofErr w:type="spellStart"/>
      <w:r w:rsidR="00D4013F" w:rsidRPr="001A6E5E">
        <w:t>Mulalley</w:t>
      </w:r>
      <w:proofErr w:type="spellEnd"/>
      <w:r w:rsidR="00D4013F" w:rsidRPr="001A6E5E">
        <w:t xml:space="preserve"> is the construction arm subsidiary of </w:t>
      </w:r>
      <w:proofErr w:type="spellStart"/>
      <w:r w:rsidR="00D4013F" w:rsidRPr="001A6E5E">
        <w:t>Sherrygreen</w:t>
      </w:r>
      <w:proofErr w:type="spellEnd"/>
      <w:r w:rsidR="00D4013F" w:rsidRPr="001A6E5E">
        <w:t xml:space="preserve"> </w:t>
      </w:r>
      <w:r w:rsidR="00852E0A" w:rsidRPr="001A6E5E">
        <w:t>Limited.</w:t>
      </w:r>
      <w:r w:rsidR="001405ED" w:rsidRPr="001A6E5E">
        <w:t xml:space="preserve">  One Housing Group is a registered provider of affordable housing.  </w:t>
      </w:r>
      <w:proofErr w:type="spellStart"/>
      <w:r w:rsidR="001405ED" w:rsidRPr="001A6E5E">
        <w:t>Mulalley</w:t>
      </w:r>
      <w:proofErr w:type="spellEnd"/>
      <w:r w:rsidR="001405ED" w:rsidRPr="001A6E5E">
        <w:t xml:space="preserve"> and One Housing Group have formed a joint venture to deliver this and other regeneration projects in London.  </w:t>
      </w:r>
    </w:p>
    <w:p w14:paraId="667C7158" w14:textId="254B696A" w:rsidR="004753E6" w:rsidRPr="001A6E5E" w:rsidRDefault="004753E6" w:rsidP="00900A27">
      <w:pPr>
        <w:ind w:left="720" w:hanging="720"/>
      </w:pPr>
      <w:r w:rsidRPr="001A6E5E">
        <w:t>3.3</w:t>
      </w:r>
      <w:r w:rsidRPr="001A6E5E">
        <w:tab/>
      </w:r>
      <w:r w:rsidR="001A6E5E" w:rsidRPr="001A6E5E">
        <w:t>B</w:t>
      </w:r>
      <w:r w:rsidRPr="001A6E5E">
        <w:t>oth partners have a wealth of experience in delivering similar projects and have the financial credentials to support the expectation of redevelopment within programmed timescales agreed with the Council.</w:t>
      </w:r>
    </w:p>
    <w:p w14:paraId="50FFA906" w14:textId="7892B433" w:rsidR="00D4013F" w:rsidRPr="001A6E5E" w:rsidRDefault="00D4013F" w:rsidP="000F71CC">
      <w:pPr>
        <w:ind w:left="720" w:hanging="720"/>
      </w:pPr>
      <w:r w:rsidRPr="001A6E5E">
        <w:t>3.</w:t>
      </w:r>
      <w:r w:rsidR="000F71CC" w:rsidRPr="001A6E5E">
        <w:t>4</w:t>
      </w:r>
      <w:r w:rsidRPr="001A6E5E">
        <w:tab/>
        <w:t xml:space="preserve">The </w:t>
      </w:r>
      <w:r w:rsidR="001B79F6" w:rsidRPr="001A6E5E">
        <w:t>member’s</w:t>
      </w:r>
      <w:r w:rsidRPr="001A6E5E">
        <w:t xml:space="preserve"> agreement was entered into on </w:t>
      </w:r>
      <w:r w:rsidR="00AA54EF" w:rsidRPr="001A6E5E">
        <w:t>19 December 201</w:t>
      </w:r>
      <w:r w:rsidR="001A6E5E">
        <w:t>3</w:t>
      </w:r>
      <w:r w:rsidRPr="001A6E5E">
        <w:t xml:space="preserve">.  </w:t>
      </w:r>
      <w:r w:rsidR="001A6E5E" w:rsidRPr="001A6E5E">
        <w:t>This agreement</w:t>
      </w:r>
      <w:r w:rsidR="00D10ADE" w:rsidRPr="001A6E5E">
        <w:t xml:space="preserve"> outline</w:t>
      </w:r>
      <w:r w:rsidR="000F71CC" w:rsidRPr="001A6E5E">
        <w:t>s</w:t>
      </w:r>
      <w:r w:rsidR="00D10ADE" w:rsidRPr="001A6E5E">
        <w:t xml:space="preserve"> the structure of the LLP and establish</w:t>
      </w:r>
      <w:r w:rsidR="000F71CC" w:rsidRPr="001A6E5E">
        <w:t>es</w:t>
      </w:r>
      <w:r w:rsidR="00D10ADE" w:rsidRPr="001A6E5E">
        <w:t xml:space="preserve"> a process for funding the development</w:t>
      </w:r>
      <w:r w:rsidR="000F71CC" w:rsidRPr="001A6E5E">
        <w:t>.</w:t>
      </w:r>
    </w:p>
    <w:p w14:paraId="690E425F" w14:textId="125F84C8" w:rsidR="00B4248A" w:rsidRPr="001A6E5E" w:rsidRDefault="00B4248A" w:rsidP="00900A27">
      <w:pPr>
        <w:ind w:left="720" w:hanging="720"/>
      </w:pPr>
      <w:r w:rsidRPr="001A6E5E">
        <w:t>3.</w:t>
      </w:r>
      <w:r w:rsidR="004753E6" w:rsidRPr="001A6E5E">
        <w:t>5</w:t>
      </w:r>
      <w:r w:rsidRPr="001A6E5E">
        <w:tab/>
        <w:t xml:space="preserve">New Granville LLP is in </w:t>
      </w:r>
      <w:r w:rsidR="001405ED" w:rsidRPr="001A6E5E">
        <w:t>a</w:t>
      </w:r>
      <w:r w:rsidRPr="001A6E5E">
        <w:t xml:space="preserve"> secure position being funded </w:t>
      </w:r>
      <w:r w:rsidR="001405ED" w:rsidRPr="001A6E5E">
        <w:t xml:space="preserve">as it is </w:t>
      </w:r>
      <w:r w:rsidRPr="001A6E5E">
        <w:t>through two large established companies relevant in the development and regeneration sectors</w:t>
      </w:r>
      <w:r w:rsidR="00C44019">
        <w:t>,</w:t>
      </w:r>
      <w:r w:rsidRPr="001A6E5E">
        <w:t xml:space="preserve"> providing an extremely stable and secure financial footing. </w:t>
      </w:r>
    </w:p>
    <w:p w14:paraId="554B06EC" w14:textId="0DBF8187" w:rsidR="00B4248A" w:rsidRPr="001A6E5E" w:rsidRDefault="009C60F1" w:rsidP="009C60F1">
      <w:pPr>
        <w:ind w:left="720" w:hanging="720"/>
      </w:pPr>
      <w:r w:rsidRPr="001A6E5E">
        <w:t>3.</w:t>
      </w:r>
      <w:r w:rsidR="004753E6" w:rsidRPr="001A6E5E">
        <w:t>6</w:t>
      </w:r>
      <w:r w:rsidRPr="001A6E5E">
        <w:tab/>
      </w:r>
      <w:proofErr w:type="spellStart"/>
      <w:r w:rsidR="00B4248A" w:rsidRPr="001A6E5E">
        <w:t>Mulalley</w:t>
      </w:r>
      <w:proofErr w:type="spellEnd"/>
      <w:r w:rsidR="00B4248A" w:rsidRPr="001A6E5E">
        <w:t xml:space="preserve"> and One Housing Group have substantial experience as developers, both individually and as joint development partners. </w:t>
      </w:r>
    </w:p>
    <w:p w14:paraId="3A5581BF" w14:textId="5794882D" w:rsidR="00B4248A" w:rsidRPr="001A6E5E" w:rsidRDefault="009C60F1" w:rsidP="009C60F1">
      <w:pPr>
        <w:ind w:left="720" w:hanging="720"/>
      </w:pPr>
      <w:r w:rsidRPr="001A6E5E">
        <w:t>3.</w:t>
      </w:r>
      <w:r w:rsidR="004753E6" w:rsidRPr="001A6E5E">
        <w:t>7</w:t>
      </w:r>
      <w:r w:rsidRPr="001A6E5E">
        <w:tab/>
      </w:r>
      <w:r w:rsidR="00B4248A" w:rsidRPr="001A6E5E">
        <w:t xml:space="preserve">In addition to </w:t>
      </w:r>
      <w:r w:rsidR="004753E6" w:rsidRPr="001A6E5E">
        <w:t>their individual</w:t>
      </w:r>
      <w:r w:rsidR="00B4248A" w:rsidRPr="001A6E5E">
        <w:t xml:space="preserve"> experience the two companies are currently partnering on the New Ladderswood Estate Regeneration, which will deliver 517 new houses and apartments within </w:t>
      </w:r>
      <w:r w:rsidRPr="001A6E5E">
        <w:t>the Ladderswood estate in the London Borough of Enfield.</w:t>
      </w:r>
    </w:p>
    <w:p w14:paraId="68650DE0" w14:textId="77777777" w:rsidR="00B4248A" w:rsidRDefault="00B4248A" w:rsidP="00B4248A">
      <w:pPr>
        <w:spacing w:before="0" w:after="0" w:line="276" w:lineRule="auto"/>
        <w:ind w:left="720" w:hanging="720"/>
      </w:pPr>
    </w:p>
    <w:p w14:paraId="2481A9A1" w14:textId="77777777" w:rsidR="0067506A" w:rsidRDefault="0067506A">
      <w:pPr>
        <w:spacing w:before="0" w:after="160"/>
        <w:rPr>
          <w:highlight w:val="yellow"/>
        </w:rPr>
      </w:pPr>
      <w:r>
        <w:rPr>
          <w:highlight w:val="yellow"/>
        </w:rPr>
        <w:br w:type="page"/>
      </w:r>
    </w:p>
    <w:p w14:paraId="1D55506B" w14:textId="77777777" w:rsidR="00291A54" w:rsidRDefault="00B52962" w:rsidP="00B52962">
      <w:pPr>
        <w:pStyle w:val="Heading1"/>
      </w:pPr>
      <w:bookmarkStart w:id="3" w:name="_Toc516156322"/>
      <w:r>
        <w:lastRenderedPageBreak/>
        <w:t>4. Arrangements between the Developer and the Council</w:t>
      </w:r>
      <w:bookmarkEnd w:id="3"/>
    </w:p>
    <w:p w14:paraId="6CFAE4EC" w14:textId="608DB5FE" w:rsidR="00291A54" w:rsidRDefault="005E18C5" w:rsidP="005E18C5">
      <w:pPr>
        <w:ind w:left="720" w:hanging="720"/>
      </w:pPr>
      <w:r>
        <w:t xml:space="preserve">4.1 </w:t>
      </w:r>
      <w:r>
        <w:tab/>
      </w:r>
      <w:r w:rsidR="001C09E3" w:rsidRPr="001C09E3">
        <w:t>In 20</w:t>
      </w:r>
      <w:r>
        <w:t>12</w:t>
      </w:r>
      <w:r w:rsidR="001C09E3" w:rsidRPr="001C09E3">
        <w:t>, following a competitive tendering exercise</w:t>
      </w:r>
      <w:r w:rsidR="00656D6C">
        <w:t>, the</w:t>
      </w:r>
      <w:r>
        <w:t xml:space="preserve"> </w:t>
      </w:r>
      <w:r w:rsidR="00656D6C">
        <w:t>Council selected</w:t>
      </w:r>
      <w:r>
        <w:t xml:space="preserve"> </w:t>
      </w:r>
      <w:proofErr w:type="spellStart"/>
      <w:r>
        <w:t>Mulalley</w:t>
      </w:r>
      <w:proofErr w:type="spellEnd"/>
      <w:r>
        <w:t xml:space="preserve"> and One Housing Group </w:t>
      </w:r>
      <w:r w:rsidR="001C09E3" w:rsidRPr="001C09E3">
        <w:t xml:space="preserve">as its development partner to undertake </w:t>
      </w:r>
      <w:r w:rsidR="001A6E5E">
        <w:t>the Phase 2 Scheme</w:t>
      </w:r>
      <w:r w:rsidR="001C09E3" w:rsidRPr="001C09E3">
        <w:t>.</w:t>
      </w:r>
    </w:p>
    <w:p w14:paraId="702D1995" w14:textId="3A0884CF" w:rsidR="005E18C5" w:rsidRDefault="005E18C5" w:rsidP="005E18C5">
      <w:pPr>
        <w:ind w:left="720" w:hanging="720"/>
      </w:pPr>
      <w:r>
        <w:t>4.2</w:t>
      </w:r>
      <w:r>
        <w:tab/>
        <w:t xml:space="preserve">On 19 December 2013 the Council and Developer entered into a Development Agreement (“the DA”) which sets out arrangements between the Council and Developer in relation to the </w:t>
      </w:r>
      <w:r w:rsidR="008F6B35">
        <w:t>Phase 2 Scheme</w:t>
      </w:r>
      <w:r w:rsidR="008B6700">
        <w:t xml:space="preserve"> </w:t>
      </w:r>
      <w:r w:rsidR="008B6700" w:rsidRPr="000D1624">
        <w:t>(CD21)</w:t>
      </w:r>
      <w:r w:rsidR="008F6B35" w:rsidRPr="000D1624">
        <w:t>.</w:t>
      </w:r>
    </w:p>
    <w:p w14:paraId="39E043AA" w14:textId="627F2E94" w:rsidR="005C6599" w:rsidRDefault="005E18C5" w:rsidP="005E18C5">
      <w:pPr>
        <w:ind w:left="720" w:hanging="720"/>
      </w:pPr>
      <w:r>
        <w:t>4.</w:t>
      </w:r>
      <w:r w:rsidR="008F6B35">
        <w:t>3</w:t>
      </w:r>
      <w:r>
        <w:t xml:space="preserve"> </w:t>
      </w:r>
      <w:r>
        <w:tab/>
      </w:r>
      <w:r w:rsidR="005C6599">
        <w:t>On 18 July 2016, the Council and Developer entered into an agreement pursuant to section 106 of the Town and Country Planning Act 1990 in respect of the scheme.</w:t>
      </w:r>
    </w:p>
    <w:p w14:paraId="6B90970A" w14:textId="0A43E6D6" w:rsidR="005C6599" w:rsidRDefault="005C6599" w:rsidP="005E18C5">
      <w:pPr>
        <w:ind w:left="720" w:hanging="720"/>
      </w:pPr>
      <w:r>
        <w:t>4.</w:t>
      </w:r>
      <w:r w:rsidR="005221EB">
        <w:t>4</w:t>
      </w:r>
      <w:r>
        <w:tab/>
      </w:r>
      <w:r w:rsidR="00291A54">
        <w:t xml:space="preserve">Planning permission (the Planning Permission) </w:t>
      </w:r>
      <w:r w:rsidR="001405ED" w:rsidRPr="000D1624">
        <w:t>(CD20)</w:t>
      </w:r>
      <w:r w:rsidR="001405ED">
        <w:t xml:space="preserve"> </w:t>
      </w:r>
      <w:r w:rsidR="00291A54">
        <w:t xml:space="preserve">was granted for the Phase 2 Scheme on appeal (the Appeal) on 8 August 2016 following a </w:t>
      </w:r>
      <w:r w:rsidR="00656D6C">
        <w:t>six-day</w:t>
      </w:r>
      <w:r w:rsidR="00291A54">
        <w:t xml:space="preserve"> public inquiry.  </w:t>
      </w:r>
    </w:p>
    <w:p w14:paraId="6FBA7E9D" w14:textId="66DC0FAD" w:rsidR="005C6599" w:rsidRDefault="005E18C5" w:rsidP="005C6599">
      <w:pPr>
        <w:ind w:left="720" w:hanging="720"/>
      </w:pPr>
      <w:r>
        <w:t>4.</w:t>
      </w:r>
      <w:r w:rsidR="003711F1">
        <w:t>5</w:t>
      </w:r>
      <w:r>
        <w:tab/>
      </w:r>
      <w:r w:rsidR="005C6599">
        <w:t>The Council and Developer entered into a CPO Indemnity Agreement (CPOIA) on 5 July 2017</w:t>
      </w:r>
      <w:r w:rsidR="005221EB">
        <w:t>.</w:t>
      </w:r>
      <w:r w:rsidR="001405ED">
        <w:t xml:space="preserve"> </w:t>
      </w:r>
      <w:r w:rsidR="00C44019">
        <w:t xml:space="preserve">This </w:t>
      </w:r>
      <w:r w:rsidR="005C6599" w:rsidRPr="005C6599">
        <w:t>requires the Developer to indemnify the Council in respect of costs related to the making and promotion of additional Orders</w:t>
      </w:r>
      <w:r w:rsidR="00C44019">
        <w:t>.</w:t>
      </w:r>
    </w:p>
    <w:p w14:paraId="6CAC6CEA" w14:textId="008C08CD" w:rsidR="00030697" w:rsidRDefault="005C6599" w:rsidP="005221EB">
      <w:pPr>
        <w:ind w:left="720" w:hanging="720"/>
      </w:pPr>
      <w:r>
        <w:t>4.</w:t>
      </w:r>
      <w:r w:rsidR="00C44019">
        <w:t>6</w:t>
      </w:r>
      <w:r>
        <w:tab/>
      </w:r>
      <w:r w:rsidRPr="005C6599">
        <w:t xml:space="preserve">The </w:t>
      </w:r>
      <w:r>
        <w:t>DA</w:t>
      </w:r>
      <w:r w:rsidRPr="005C6599">
        <w:t xml:space="preserve"> contains </w:t>
      </w:r>
      <w:r w:rsidR="00A9662E" w:rsidRPr="005C6599">
        <w:t>several</w:t>
      </w:r>
      <w:r w:rsidRPr="005C6599">
        <w:t xml:space="preserve"> overarching pre-conditions</w:t>
      </w:r>
      <w:r w:rsidR="00DA798E">
        <w:t>,</w:t>
      </w:r>
      <w:r w:rsidRPr="005C6599">
        <w:t xml:space="preserve"> </w:t>
      </w:r>
      <w:r w:rsidR="00DA798E">
        <w:t>f</w:t>
      </w:r>
      <w:r w:rsidRPr="005C6599">
        <w:t xml:space="preserve">ollowing satisfaction of these pre-conditions, the </w:t>
      </w:r>
      <w:r>
        <w:t>DA</w:t>
      </w:r>
      <w:r w:rsidRPr="005C6599">
        <w:t xml:space="preserve"> </w:t>
      </w:r>
      <w:r>
        <w:t>will be</w:t>
      </w:r>
      <w:r w:rsidRPr="005C6599">
        <w:t xml:space="preserve"> deemed unconditional. </w:t>
      </w:r>
      <w:r w:rsidR="00A9662E">
        <w:t>Several</w:t>
      </w:r>
      <w:r w:rsidR="00786049">
        <w:t xml:space="preserve"> pre-conditions have already been met and the Developer is unaware of any reason as to why this should not be achieved.</w:t>
      </w:r>
    </w:p>
    <w:p w14:paraId="49FDFB31" w14:textId="27E755FE" w:rsidR="00A777CE" w:rsidRDefault="00A76A68" w:rsidP="005C6599">
      <w:pPr>
        <w:ind w:left="720" w:hanging="720"/>
      </w:pPr>
      <w:r>
        <w:t>4.</w:t>
      </w:r>
      <w:r w:rsidR="00786049">
        <w:t>7</w:t>
      </w:r>
      <w:r>
        <w:tab/>
      </w:r>
      <w:r w:rsidRPr="00A76A68">
        <w:t xml:space="preserve">The conditions also require vacant possession of the land to be </w:t>
      </w:r>
      <w:r w:rsidR="00A777CE">
        <w:t>secured</w:t>
      </w:r>
      <w:r w:rsidRPr="00A76A68">
        <w:t xml:space="preserve">. Whilst the Council and Developer remain committed to assembling the site by </w:t>
      </w:r>
      <w:r w:rsidR="001405ED">
        <w:t xml:space="preserve">acquiring the necessary interests by </w:t>
      </w:r>
      <w:r w:rsidRPr="00A76A68">
        <w:t>agreement, the Order</w:t>
      </w:r>
      <w:r w:rsidR="006A136A">
        <w:t xml:space="preserve"> is</w:t>
      </w:r>
      <w:r w:rsidRPr="00A76A68">
        <w:t xml:space="preserve"> necessary to ensure this condition is met within a reasonable timescale</w:t>
      </w:r>
      <w:r w:rsidR="0024623E">
        <w:t>.</w:t>
      </w:r>
    </w:p>
    <w:p w14:paraId="70DAAF89" w14:textId="5F2BBB0F" w:rsidR="003E74EF" w:rsidRDefault="003E74EF" w:rsidP="005C6599">
      <w:pPr>
        <w:ind w:left="720" w:hanging="720"/>
      </w:pPr>
      <w:r>
        <w:t>4.8</w:t>
      </w:r>
      <w:r>
        <w:tab/>
        <w:t>A S278 agreement will be entered into. The Developer is unaware of any reason that the S278 agreement will not be completed and does not believe that it presents any impediment to the delivery of the Phase 2 Scheme.</w:t>
      </w:r>
    </w:p>
    <w:p w14:paraId="60B1957C" w14:textId="77777777" w:rsidR="00A777CE" w:rsidRDefault="00A777CE">
      <w:pPr>
        <w:spacing w:before="0" w:after="160"/>
      </w:pPr>
      <w:r>
        <w:br w:type="page"/>
      </w:r>
    </w:p>
    <w:p w14:paraId="605E58EE" w14:textId="77777777" w:rsidR="00137FE6" w:rsidRDefault="000516FF" w:rsidP="00A777CE">
      <w:pPr>
        <w:pStyle w:val="Heading1"/>
      </w:pPr>
      <w:bookmarkStart w:id="4" w:name="_Toc516156323"/>
      <w:r>
        <w:lastRenderedPageBreak/>
        <w:t>5. Scheme Description</w:t>
      </w:r>
      <w:bookmarkEnd w:id="4"/>
    </w:p>
    <w:p w14:paraId="16F6C4B3" w14:textId="2F38AFD5" w:rsidR="004258E9" w:rsidRPr="000D1624" w:rsidRDefault="004258E9" w:rsidP="008360F6">
      <w:pPr>
        <w:ind w:left="720" w:hanging="720"/>
        <w:rPr>
          <w:rFonts w:cstheme="minorHAnsi"/>
        </w:rPr>
      </w:pPr>
      <w:r>
        <w:rPr>
          <w:rFonts w:cstheme="minorHAnsi"/>
        </w:rPr>
        <w:t xml:space="preserve">5.1 </w:t>
      </w:r>
      <w:r>
        <w:rPr>
          <w:rFonts w:cstheme="minorHAnsi"/>
        </w:rPr>
        <w:tab/>
        <w:t xml:space="preserve">As explained in the evidence of </w:t>
      </w:r>
      <w:bookmarkStart w:id="5" w:name="_Hlk516474761"/>
      <w:r>
        <w:rPr>
          <w:rFonts w:cstheme="minorHAnsi"/>
        </w:rPr>
        <w:t>J</w:t>
      </w:r>
      <w:r w:rsidRPr="004258E9">
        <w:rPr>
          <w:rFonts w:cstheme="minorHAnsi"/>
        </w:rPr>
        <w:t xml:space="preserve">o </w:t>
      </w:r>
      <w:proofErr w:type="spellStart"/>
      <w:r>
        <w:rPr>
          <w:rFonts w:cstheme="minorHAnsi"/>
        </w:rPr>
        <w:t>M</w:t>
      </w:r>
      <w:r w:rsidRPr="004258E9">
        <w:rPr>
          <w:rFonts w:cstheme="minorHAnsi"/>
        </w:rPr>
        <w:t>c</w:t>
      </w:r>
      <w:r>
        <w:rPr>
          <w:rFonts w:cstheme="minorHAnsi"/>
        </w:rPr>
        <w:t>C</w:t>
      </w:r>
      <w:r w:rsidRPr="004258E9">
        <w:rPr>
          <w:rFonts w:cstheme="minorHAnsi"/>
        </w:rPr>
        <w:t>afferty</w:t>
      </w:r>
      <w:bookmarkEnd w:id="5"/>
      <w:proofErr w:type="spellEnd"/>
      <w:r>
        <w:rPr>
          <w:rFonts w:cstheme="minorHAnsi"/>
        </w:rPr>
        <w:t xml:space="preserve"> (</w:t>
      </w:r>
      <w:r w:rsidR="000D1624">
        <w:rPr>
          <w:rFonts w:cstheme="minorHAnsi"/>
        </w:rPr>
        <w:t>A</w:t>
      </w:r>
      <w:r w:rsidR="000D1624" w:rsidRPr="000D1624">
        <w:rPr>
          <w:rFonts w:cstheme="minorHAnsi"/>
        </w:rPr>
        <w:t>A/</w:t>
      </w:r>
      <w:r w:rsidR="008B6700" w:rsidRPr="000D1624">
        <w:rPr>
          <w:rFonts w:cstheme="minorHAnsi"/>
        </w:rPr>
        <w:t>JM1.1</w:t>
      </w:r>
      <w:r w:rsidR="000D1624" w:rsidRPr="000D1624">
        <w:rPr>
          <w:rFonts w:cstheme="minorHAnsi"/>
        </w:rPr>
        <w:t xml:space="preserve"> section 4.1</w:t>
      </w:r>
      <w:r w:rsidRPr="000D1624">
        <w:rPr>
          <w:rFonts w:cstheme="minorHAnsi"/>
        </w:rPr>
        <w:t>], the Order Land shown on the Order Maps (CD5) is necessary to allow the completion of the Phase 2 Scheme and the associated infrastructure works in accordance with the approved Planning Permission.</w:t>
      </w:r>
    </w:p>
    <w:p w14:paraId="0F384C66" w14:textId="48923C09" w:rsidR="00FF7B1B" w:rsidRPr="000D1624" w:rsidRDefault="000F2517" w:rsidP="00786049">
      <w:pPr>
        <w:rPr>
          <w:rFonts w:cstheme="minorHAnsi"/>
        </w:rPr>
      </w:pPr>
      <w:r w:rsidRPr="000D1624">
        <w:rPr>
          <w:rFonts w:cstheme="minorHAnsi"/>
          <w:color w:val="000000"/>
        </w:rPr>
        <w:t>5.</w:t>
      </w:r>
      <w:r w:rsidR="00786049" w:rsidRPr="000D1624">
        <w:rPr>
          <w:rFonts w:cstheme="minorHAnsi"/>
          <w:color w:val="000000"/>
        </w:rPr>
        <w:t>2</w:t>
      </w:r>
      <w:r w:rsidRPr="000D1624">
        <w:rPr>
          <w:rFonts w:cstheme="minorHAnsi"/>
          <w:color w:val="000000"/>
        </w:rPr>
        <w:tab/>
      </w:r>
      <w:r w:rsidR="00104586" w:rsidRPr="000D1624">
        <w:rPr>
          <w:rFonts w:cstheme="minorHAnsi"/>
          <w:color w:val="000000"/>
        </w:rPr>
        <w:t>The Planning Permission</w:t>
      </w:r>
      <w:r w:rsidR="00122316" w:rsidRPr="000D1624">
        <w:rPr>
          <w:rFonts w:cstheme="minorHAnsi"/>
          <w:color w:val="000000"/>
        </w:rPr>
        <w:t xml:space="preserve"> (CD20)</w:t>
      </w:r>
      <w:r w:rsidR="00104586" w:rsidRPr="000D1624">
        <w:rPr>
          <w:rFonts w:cstheme="minorHAnsi"/>
          <w:color w:val="000000"/>
        </w:rPr>
        <w:t xml:space="preserve"> </w:t>
      </w:r>
      <w:r w:rsidR="003711F1" w:rsidRPr="000D1624">
        <w:rPr>
          <w:rFonts w:cstheme="minorHAnsi"/>
          <w:color w:val="000000"/>
        </w:rPr>
        <w:t xml:space="preserve">outlines the </w:t>
      </w:r>
      <w:r w:rsidRPr="000D1624">
        <w:rPr>
          <w:rFonts w:cstheme="minorHAnsi"/>
          <w:color w:val="000000"/>
        </w:rPr>
        <w:t>s</w:t>
      </w:r>
      <w:r w:rsidR="00104586" w:rsidRPr="000D1624">
        <w:rPr>
          <w:rFonts w:cstheme="minorHAnsi"/>
          <w:color w:val="000000"/>
        </w:rPr>
        <w:t>cheme</w:t>
      </w:r>
      <w:r w:rsidRPr="000D1624">
        <w:rPr>
          <w:rFonts w:cstheme="minorHAnsi"/>
          <w:color w:val="000000"/>
        </w:rPr>
        <w:t xml:space="preserve"> </w:t>
      </w:r>
      <w:r w:rsidR="003711F1" w:rsidRPr="000D1624">
        <w:rPr>
          <w:rFonts w:cstheme="minorHAnsi"/>
          <w:color w:val="000000"/>
        </w:rPr>
        <w:t>that permission was granted for.</w:t>
      </w:r>
      <w:r w:rsidR="00FF7B1B" w:rsidRPr="000D1624">
        <w:rPr>
          <w:rFonts w:cstheme="minorHAnsi"/>
          <w:color w:val="000000"/>
        </w:rPr>
        <w:t xml:space="preserve"> </w:t>
      </w:r>
    </w:p>
    <w:p w14:paraId="53F20058" w14:textId="4DB4F643" w:rsidR="00FF7B1B" w:rsidRPr="00EE1AC9" w:rsidRDefault="00FF7B1B" w:rsidP="00EE1AC9">
      <w:pPr>
        <w:ind w:left="720" w:hanging="720"/>
        <w:rPr>
          <w:rFonts w:cstheme="minorHAnsi"/>
          <w:color w:val="000000"/>
        </w:rPr>
      </w:pPr>
      <w:r w:rsidRPr="000D1624">
        <w:rPr>
          <w:rFonts w:cstheme="minorHAnsi"/>
          <w:color w:val="000000"/>
        </w:rPr>
        <w:t>5.</w:t>
      </w:r>
      <w:r w:rsidR="00786049" w:rsidRPr="000D1624">
        <w:rPr>
          <w:rFonts w:cstheme="minorHAnsi"/>
          <w:color w:val="000000"/>
        </w:rPr>
        <w:t>3</w:t>
      </w:r>
      <w:r w:rsidR="000F2517" w:rsidRPr="000D1624">
        <w:rPr>
          <w:rFonts w:cstheme="minorHAnsi"/>
          <w:color w:val="000000"/>
        </w:rPr>
        <w:tab/>
      </w:r>
      <w:r w:rsidR="00122316" w:rsidRPr="000D1624">
        <w:rPr>
          <w:rFonts w:cstheme="minorHAnsi"/>
          <w:color w:val="000000"/>
        </w:rPr>
        <w:t xml:space="preserve">As described by </w:t>
      </w:r>
      <w:r w:rsidR="00852E0A" w:rsidRPr="000D1624">
        <w:rPr>
          <w:rFonts w:cstheme="minorHAnsi"/>
          <w:color w:val="000000"/>
        </w:rPr>
        <w:t xml:space="preserve">Nicola </w:t>
      </w:r>
      <w:r w:rsidR="00122316" w:rsidRPr="000D1624">
        <w:rPr>
          <w:rFonts w:cstheme="minorHAnsi"/>
          <w:color w:val="000000"/>
        </w:rPr>
        <w:t>Bird (</w:t>
      </w:r>
      <w:r w:rsidR="000D1624" w:rsidRPr="000D1624">
        <w:rPr>
          <w:rFonts w:cstheme="minorHAnsi"/>
          <w:color w:val="000000"/>
        </w:rPr>
        <w:t>AA/</w:t>
      </w:r>
      <w:r w:rsidR="00122316" w:rsidRPr="000D1624">
        <w:rPr>
          <w:rFonts w:cstheme="minorHAnsi"/>
          <w:color w:val="000000"/>
        </w:rPr>
        <w:t>NB1.1</w:t>
      </w:r>
      <w:r w:rsidR="000D1624" w:rsidRPr="000D1624">
        <w:rPr>
          <w:rFonts w:cstheme="minorHAnsi"/>
          <w:color w:val="000000"/>
        </w:rPr>
        <w:t xml:space="preserve"> section 2</w:t>
      </w:r>
      <w:r w:rsidR="00122316">
        <w:rPr>
          <w:rFonts w:cstheme="minorHAnsi"/>
          <w:color w:val="000000"/>
        </w:rPr>
        <w:t>)</w:t>
      </w:r>
      <w:r w:rsidRPr="008707F8">
        <w:rPr>
          <w:rFonts w:cstheme="minorHAnsi"/>
          <w:color w:val="000000"/>
        </w:rPr>
        <w:t xml:space="preserve"> </w:t>
      </w:r>
      <w:r w:rsidR="00122316">
        <w:rPr>
          <w:rFonts w:cstheme="minorHAnsi"/>
          <w:color w:val="000000"/>
        </w:rPr>
        <w:t xml:space="preserve">the Phase 2 Scheme </w:t>
      </w:r>
      <w:r w:rsidRPr="008707F8">
        <w:rPr>
          <w:rFonts w:cstheme="minorHAnsi"/>
          <w:color w:val="000000"/>
        </w:rPr>
        <w:t>comprises part</w:t>
      </w:r>
      <w:r w:rsidR="00122316">
        <w:rPr>
          <w:rFonts w:cstheme="minorHAnsi"/>
          <w:color w:val="000000"/>
        </w:rPr>
        <w:t xml:space="preserve"> of the </w:t>
      </w:r>
      <w:r w:rsidR="00852E0A">
        <w:rPr>
          <w:rFonts w:cstheme="minorHAnsi"/>
          <w:color w:val="000000"/>
        </w:rPr>
        <w:t xml:space="preserve">Council’s </w:t>
      </w:r>
      <w:r w:rsidR="008014ED">
        <w:rPr>
          <w:rFonts w:cstheme="minorHAnsi"/>
          <w:color w:val="000000"/>
        </w:rPr>
        <w:t xml:space="preserve">wider </w:t>
      </w:r>
      <w:r w:rsidR="008014ED" w:rsidRPr="008707F8">
        <w:rPr>
          <w:rFonts w:cstheme="minorHAnsi"/>
          <w:color w:val="000000"/>
        </w:rPr>
        <w:t>redevelopment</w:t>
      </w:r>
      <w:r w:rsidRPr="008707F8">
        <w:rPr>
          <w:rFonts w:cstheme="minorHAnsi"/>
          <w:color w:val="000000"/>
        </w:rPr>
        <w:t xml:space="preserve"> of land and buildings on the Granville Road Estate.  </w:t>
      </w:r>
    </w:p>
    <w:p w14:paraId="457912D6" w14:textId="07717795" w:rsidR="00EE1AC9" w:rsidRDefault="00FF7B1B" w:rsidP="008707F8">
      <w:pPr>
        <w:ind w:left="720" w:hanging="720"/>
        <w:rPr>
          <w:rFonts w:cstheme="minorHAnsi"/>
        </w:rPr>
      </w:pPr>
      <w:r w:rsidRPr="008707F8">
        <w:rPr>
          <w:rFonts w:cstheme="minorHAnsi"/>
        </w:rPr>
        <w:t>5.</w:t>
      </w:r>
      <w:r w:rsidR="00786049">
        <w:rPr>
          <w:rFonts w:cstheme="minorHAnsi"/>
        </w:rPr>
        <w:t>4</w:t>
      </w:r>
      <w:r w:rsidRPr="008707F8">
        <w:rPr>
          <w:rFonts w:cstheme="minorHAnsi"/>
        </w:rPr>
        <w:t xml:space="preserve"> </w:t>
      </w:r>
      <w:r w:rsidR="008707F8" w:rsidRPr="008707F8">
        <w:rPr>
          <w:rFonts w:cstheme="minorHAnsi"/>
        </w:rPr>
        <w:tab/>
      </w:r>
      <w:r w:rsidR="00EE1AC9">
        <w:rPr>
          <w:rFonts w:cstheme="minorHAnsi"/>
        </w:rPr>
        <w:t xml:space="preserve">The Phase 2 Scheme consists of three flat blocks providing 74 units along with 58 houses, as well as </w:t>
      </w:r>
      <w:r w:rsidR="0075269D">
        <w:rPr>
          <w:rFonts w:cstheme="minorHAnsi"/>
        </w:rPr>
        <w:t>a re-configuration of the existing road layout</w:t>
      </w:r>
      <w:r w:rsidR="003E74EF">
        <w:rPr>
          <w:rFonts w:cstheme="minorHAnsi"/>
        </w:rPr>
        <w:t xml:space="preserve"> and the provision of 330 parking spaces.</w:t>
      </w:r>
      <w:r w:rsidR="0075269D">
        <w:rPr>
          <w:rFonts w:cstheme="minorHAnsi"/>
        </w:rPr>
        <w:t xml:space="preserve"> </w:t>
      </w:r>
    </w:p>
    <w:p w14:paraId="10B68820" w14:textId="30EB3BE5" w:rsidR="00C50540" w:rsidRDefault="00C50540" w:rsidP="0075269D">
      <w:pPr>
        <w:ind w:left="720" w:hanging="720"/>
        <w:rPr>
          <w:rFonts w:cstheme="minorHAnsi"/>
        </w:rPr>
      </w:pPr>
      <w:r>
        <w:rPr>
          <w:rFonts w:cstheme="minorHAnsi"/>
        </w:rPr>
        <w:t>5.</w:t>
      </w:r>
      <w:r w:rsidR="00786049">
        <w:rPr>
          <w:rFonts w:cstheme="minorHAnsi"/>
        </w:rPr>
        <w:t>5</w:t>
      </w:r>
      <w:r>
        <w:rPr>
          <w:rFonts w:cstheme="minorHAnsi"/>
        </w:rPr>
        <w:tab/>
        <w:t>The Planning Permission (</w:t>
      </w:r>
      <w:r w:rsidRPr="000D1624">
        <w:rPr>
          <w:rFonts w:cstheme="minorHAnsi"/>
        </w:rPr>
        <w:t>CD20</w:t>
      </w:r>
      <w:r>
        <w:rPr>
          <w:rFonts w:cstheme="minorHAnsi"/>
        </w:rPr>
        <w:t>) was granted subject to 42 conditions.</w:t>
      </w:r>
      <w:r w:rsidR="0075269D" w:rsidRPr="0075269D">
        <w:rPr>
          <w:rFonts w:cstheme="minorHAnsi"/>
        </w:rPr>
        <w:t xml:space="preserve"> </w:t>
      </w:r>
      <w:r w:rsidR="0075269D">
        <w:rPr>
          <w:rFonts w:cstheme="minorHAnsi"/>
        </w:rPr>
        <w:t xml:space="preserve">Substantial preparation works have been undertaken </w:t>
      </w:r>
      <w:r w:rsidR="00A9662E">
        <w:rPr>
          <w:rFonts w:cstheme="minorHAnsi"/>
        </w:rPr>
        <w:t>to</w:t>
      </w:r>
      <w:r w:rsidR="0075269D">
        <w:rPr>
          <w:rFonts w:cstheme="minorHAnsi"/>
        </w:rPr>
        <w:t xml:space="preserve"> discharge these conditions, </w:t>
      </w:r>
      <w:r w:rsidR="003E74EF">
        <w:rPr>
          <w:rFonts w:cstheme="minorHAnsi"/>
        </w:rPr>
        <w:t>although</w:t>
      </w:r>
      <w:r w:rsidR="0075269D">
        <w:rPr>
          <w:rFonts w:cstheme="minorHAnsi"/>
        </w:rPr>
        <w:t xml:space="preserve"> </w:t>
      </w:r>
      <w:r w:rsidR="003E74EF">
        <w:rPr>
          <w:rFonts w:cstheme="minorHAnsi"/>
        </w:rPr>
        <w:t xml:space="preserve">currently </w:t>
      </w:r>
      <w:r w:rsidR="0075269D">
        <w:rPr>
          <w:rFonts w:cstheme="minorHAnsi"/>
        </w:rPr>
        <w:t xml:space="preserve">none have formally been discharged. However, </w:t>
      </w:r>
      <w:r w:rsidR="0075269D" w:rsidRPr="00C50540">
        <w:rPr>
          <w:rFonts w:cstheme="minorHAnsi"/>
        </w:rPr>
        <w:t xml:space="preserve">there is no reason why these pre-commencement conditions will not be satisfied </w:t>
      </w:r>
      <w:r w:rsidR="0075269D">
        <w:rPr>
          <w:rFonts w:cstheme="minorHAnsi"/>
        </w:rPr>
        <w:t xml:space="preserve">at the appropriate time. </w:t>
      </w:r>
    </w:p>
    <w:p w14:paraId="46EF2956" w14:textId="424AE99D" w:rsidR="008C3A3F" w:rsidRDefault="008C3A3F" w:rsidP="008C3A3F">
      <w:pPr>
        <w:ind w:left="720" w:hanging="720"/>
        <w:rPr>
          <w:rFonts w:cstheme="minorHAnsi"/>
          <w:color w:val="000000"/>
        </w:rPr>
      </w:pPr>
      <w:r>
        <w:rPr>
          <w:rFonts w:cstheme="minorHAnsi"/>
          <w:color w:val="000000"/>
        </w:rPr>
        <w:t>5.</w:t>
      </w:r>
      <w:r w:rsidR="00786049">
        <w:rPr>
          <w:rFonts w:cstheme="minorHAnsi"/>
          <w:color w:val="000000"/>
        </w:rPr>
        <w:t>6</w:t>
      </w:r>
      <w:r>
        <w:rPr>
          <w:rFonts w:cstheme="minorHAnsi"/>
          <w:color w:val="000000"/>
        </w:rPr>
        <w:tab/>
        <w:t>T</w:t>
      </w:r>
      <w:r w:rsidRPr="008707F8">
        <w:rPr>
          <w:rFonts w:cstheme="minorHAnsi"/>
          <w:color w:val="000000"/>
        </w:rPr>
        <w:t xml:space="preserve">here are </w:t>
      </w:r>
      <w:r w:rsidR="008360F6">
        <w:rPr>
          <w:rFonts w:cstheme="minorHAnsi"/>
          <w:color w:val="000000"/>
        </w:rPr>
        <w:t xml:space="preserve">therefore </w:t>
      </w:r>
      <w:r w:rsidRPr="008707F8">
        <w:rPr>
          <w:rFonts w:cstheme="minorHAnsi"/>
          <w:color w:val="000000"/>
        </w:rPr>
        <w:t xml:space="preserve">no planning impediments to the Phase 2 Scheme’s commencement, and </w:t>
      </w:r>
      <w:r>
        <w:rPr>
          <w:rFonts w:cstheme="minorHAnsi"/>
          <w:color w:val="000000"/>
        </w:rPr>
        <w:t>timely d</w:t>
      </w:r>
      <w:r w:rsidRPr="008707F8">
        <w:rPr>
          <w:rFonts w:cstheme="minorHAnsi"/>
          <w:color w:val="000000"/>
        </w:rPr>
        <w:t>elivery.</w:t>
      </w:r>
    </w:p>
    <w:p w14:paraId="53A6CD65" w14:textId="76962EB6" w:rsidR="0075269D" w:rsidRDefault="001A6E5E" w:rsidP="008C3A3F">
      <w:pPr>
        <w:ind w:left="720" w:hanging="720"/>
        <w:rPr>
          <w:rFonts w:cstheme="minorHAnsi"/>
          <w:color w:val="000000"/>
        </w:rPr>
      </w:pPr>
      <w:r>
        <w:rPr>
          <w:rFonts w:cstheme="minorHAnsi"/>
          <w:color w:val="000000"/>
        </w:rPr>
        <w:t>5.</w:t>
      </w:r>
      <w:r w:rsidR="00786049">
        <w:rPr>
          <w:rFonts w:cstheme="minorHAnsi"/>
          <w:color w:val="000000"/>
        </w:rPr>
        <w:t>7</w:t>
      </w:r>
      <w:r w:rsidR="0075269D">
        <w:rPr>
          <w:rFonts w:cstheme="minorHAnsi"/>
          <w:color w:val="000000"/>
        </w:rPr>
        <w:tab/>
      </w:r>
      <w:r w:rsidR="0075269D" w:rsidRPr="008707F8">
        <w:rPr>
          <w:rFonts w:cstheme="minorHAnsi"/>
          <w:color w:val="000000"/>
        </w:rPr>
        <w:t>The Developer has</w:t>
      </w:r>
      <w:r w:rsidR="0075269D">
        <w:rPr>
          <w:rFonts w:cstheme="minorHAnsi"/>
          <w:color w:val="000000"/>
        </w:rPr>
        <w:t>,</w:t>
      </w:r>
      <w:r w:rsidR="0075269D" w:rsidRPr="008707F8">
        <w:rPr>
          <w:rFonts w:cstheme="minorHAnsi"/>
          <w:color w:val="000000"/>
        </w:rPr>
        <w:t xml:space="preserve"> to date</w:t>
      </w:r>
      <w:r w:rsidR="0075269D">
        <w:rPr>
          <w:rFonts w:cstheme="minorHAnsi"/>
          <w:color w:val="000000"/>
        </w:rPr>
        <w:t>,</w:t>
      </w:r>
      <w:r w:rsidR="0075269D" w:rsidRPr="008707F8">
        <w:rPr>
          <w:rFonts w:cstheme="minorHAnsi"/>
          <w:color w:val="000000"/>
        </w:rPr>
        <w:t xml:space="preserve"> undertaken a substantial amount of design work on the </w:t>
      </w:r>
      <w:r w:rsidR="0075269D">
        <w:rPr>
          <w:rFonts w:cstheme="minorHAnsi"/>
          <w:color w:val="000000"/>
        </w:rPr>
        <w:t>scheme</w:t>
      </w:r>
      <w:r w:rsidR="0075269D" w:rsidRPr="008707F8">
        <w:rPr>
          <w:rFonts w:cstheme="minorHAnsi"/>
          <w:color w:val="000000"/>
        </w:rPr>
        <w:t>,</w:t>
      </w:r>
      <w:r w:rsidR="0075269D">
        <w:rPr>
          <w:rFonts w:cstheme="minorHAnsi"/>
          <w:color w:val="000000"/>
        </w:rPr>
        <w:t xml:space="preserve"> along with </w:t>
      </w:r>
      <w:r w:rsidR="00A9662E">
        <w:rPr>
          <w:rFonts w:cstheme="minorHAnsi"/>
          <w:color w:val="000000"/>
        </w:rPr>
        <w:t>several</w:t>
      </w:r>
      <w:r w:rsidR="0075269D">
        <w:rPr>
          <w:rFonts w:cstheme="minorHAnsi"/>
          <w:color w:val="000000"/>
        </w:rPr>
        <w:t xml:space="preserve"> </w:t>
      </w:r>
      <w:r w:rsidR="0075269D" w:rsidRPr="008707F8">
        <w:rPr>
          <w:rFonts w:cstheme="minorHAnsi"/>
          <w:color w:val="000000"/>
        </w:rPr>
        <w:t>pre-construction surveys</w:t>
      </w:r>
      <w:r w:rsidR="0075269D">
        <w:rPr>
          <w:rFonts w:cstheme="minorHAnsi"/>
          <w:color w:val="000000"/>
        </w:rPr>
        <w:t>.</w:t>
      </w:r>
    </w:p>
    <w:p w14:paraId="02EBEE03" w14:textId="0C19CDDC" w:rsidR="00DB276E" w:rsidRPr="008707F8" w:rsidRDefault="00EB2B3D" w:rsidP="00DB276E">
      <w:pPr>
        <w:ind w:left="720" w:hanging="720"/>
        <w:rPr>
          <w:rFonts w:cstheme="minorHAnsi"/>
          <w:color w:val="000000"/>
        </w:rPr>
      </w:pPr>
      <w:r>
        <w:rPr>
          <w:rFonts w:cstheme="minorHAnsi"/>
          <w:color w:val="000000"/>
        </w:rPr>
        <w:t>5.</w:t>
      </w:r>
      <w:r w:rsidR="00786049">
        <w:rPr>
          <w:rFonts w:cstheme="minorHAnsi"/>
          <w:color w:val="000000"/>
        </w:rPr>
        <w:t>8</w:t>
      </w:r>
      <w:r w:rsidR="00DB276E">
        <w:rPr>
          <w:rFonts w:cstheme="minorHAnsi"/>
          <w:color w:val="000000"/>
        </w:rPr>
        <w:tab/>
      </w:r>
      <w:r w:rsidR="00DB276E" w:rsidRPr="008707F8">
        <w:rPr>
          <w:rFonts w:cstheme="minorHAnsi"/>
          <w:color w:val="000000"/>
        </w:rPr>
        <w:t xml:space="preserve">Site surveys for diversionary works have been undertaken and negotiations with statutory providers are ongoing. </w:t>
      </w:r>
    </w:p>
    <w:p w14:paraId="3577861E" w14:textId="0783ECCA" w:rsidR="00B358D0" w:rsidRDefault="00B358D0">
      <w:pPr>
        <w:spacing w:before="0" w:after="160"/>
        <w:rPr>
          <w:rFonts w:cstheme="minorHAnsi"/>
        </w:rPr>
      </w:pPr>
      <w:r>
        <w:rPr>
          <w:rFonts w:cstheme="minorHAnsi"/>
        </w:rPr>
        <w:br w:type="page"/>
      </w:r>
    </w:p>
    <w:p w14:paraId="20E07923" w14:textId="77777777" w:rsidR="00353A52" w:rsidRDefault="00353A52" w:rsidP="00353A52">
      <w:pPr>
        <w:pStyle w:val="Heading1"/>
      </w:pPr>
      <w:bookmarkStart w:id="6" w:name="_Toc516156324"/>
      <w:r>
        <w:lastRenderedPageBreak/>
        <w:t>6. The Developer’s Commitment to Delivery</w:t>
      </w:r>
      <w:bookmarkEnd w:id="6"/>
    </w:p>
    <w:p w14:paraId="5E94016A" w14:textId="0B1088F4" w:rsidR="00E45152" w:rsidRDefault="00454374" w:rsidP="00E45152">
      <w:pPr>
        <w:ind w:left="720" w:hanging="720"/>
      </w:pPr>
      <w:r>
        <w:t>6.1</w:t>
      </w:r>
      <w:r>
        <w:tab/>
      </w:r>
      <w:r w:rsidRPr="00CA6D45">
        <w:t xml:space="preserve">The Developer is committed to delivering the scheme. </w:t>
      </w:r>
    </w:p>
    <w:p w14:paraId="00780515" w14:textId="1988AEEC" w:rsidR="00353A52" w:rsidRPr="00454374" w:rsidRDefault="00454374" w:rsidP="00454374">
      <w:pPr>
        <w:ind w:left="720" w:hanging="720"/>
        <w:rPr>
          <w:rFonts w:cstheme="minorHAnsi"/>
          <w:sz w:val="28"/>
          <w:szCs w:val="24"/>
        </w:rPr>
      </w:pPr>
      <w:r w:rsidRPr="00454374">
        <w:rPr>
          <w:rFonts w:cstheme="minorHAnsi"/>
          <w:szCs w:val="20"/>
        </w:rPr>
        <w:t>6.</w:t>
      </w:r>
      <w:r w:rsidR="00004781">
        <w:rPr>
          <w:rFonts w:cstheme="minorHAnsi"/>
          <w:szCs w:val="20"/>
        </w:rPr>
        <w:t>2</w:t>
      </w:r>
      <w:r w:rsidRPr="00454374">
        <w:rPr>
          <w:rFonts w:cstheme="minorHAnsi"/>
          <w:szCs w:val="20"/>
        </w:rPr>
        <w:tab/>
      </w:r>
      <w:r w:rsidR="00353A52" w:rsidRPr="00454374">
        <w:rPr>
          <w:rFonts w:cstheme="minorHAnsi"/>
          <w:szCs w:val="20"/>
        </w:rPr>
        <w:t>Under the Development Agreement the Developer is responsible for funding the</w:t>
      </w:r>
      <w:r w:rsidRPr="00454374">
        <w:rPr>
          <w:rFonts w:cstheme="minorHAnsi"/>
          <w:szCs w:val="20"/>
        </w:rPr>
        <w:t xml:space="preserve"> </w:t>
      </w:r>
      <w:r w:rsidR="00353A52" w:rsidRPr="00454374">
        <w:rPr>
          <w:rFonts w:cstheme="minorHAnsi"/>
          <w:szCs w:val="20"/>
        </w:rPr>
        <w:t xml:space="preserve">development. </w:t>
      </w:r>
      <w:r w:rsidR="00EB2B3D">
        <w:rPr>
          <w:rFonts w:cstheme="minorHAnsi"/>
          <w:szCs w:val="20"/>
        </w:rPr>
        <w:t>I can confirm that the</w:t>
      </w:r>
      <w:r w:rsidR="00353A52" w:rsidRPr="00454374">
        <w:rPr>
          <w:rFonts w:cstheme="minorHAnsi"/>
          <w:szCs w:val="20"/>
        </w:rPr>
        <w:t xml:space="preserve"> Developer is able to fund the delivery of</w:t>
      </w:r>
      <w:r w:rsidRPr="00454374">
        <w:rPr>
          <w:rFonts w:cstheme="minorHAnsi"/>
          <w:szCs w:val="20"/>
        </w:rPr>
        <w:t xml:space="preserve"> </w:t>
      </w:r>
      <w:r w:rsidR="00353A52" w:rsidRPr="00454374">
        <w:rPr>
          <w:rFonts w:cstheme="minorHAnsi"/>
          <w:szCs w:val="20"/>
        </w:rPr>
        <w:t>the Scheme</w:t>
      </w:r>
      <w:r w:rsidR="00CE529A">
        <w:rPr>
          <w:rFonts w:cstheme="minorHAnsi"/>
          <w:szCs w:val="20"/>
        </w:rPr>
        <w:t>;</w:t>
      </w:r>
      <w:r w:rsidR="00353A52" w:rsidRPr="00454374">
        <w:rPr>
          <w:rFonts w:cstheme="minorHAnsi"/>
          <w:szCs w:val="20"/>
        </w:rPr>
        <w:t xml:space="preserve"> that the Developer remains </w:t>
      </w:r>
      <w:r w:rsidR="00EB2B3D">
        <w:rPr>
          <w:rFonts w:cstheme="minorHAnsi"/>
          <w:szCs w:val="20"/>
        </w:rPr>
        <w:t xml:space="preserve">fully </w:t>
      </w:r>
      <w:r w:rsidR="00353A52" w:rsidRPr="00454374">
        <w:rPr>
          <w:rFonts w:cstheme="minorHAnsi"/>
          <w:szCs w:val="20"/>
        </w:rPr>
        <w:t>committed to doing so</w:t>
      </w:r>
      <w:r w:rsidR="00CE529A">
        <w:rPr>
          <w:rFonts w:cstheme="minorHAnsi"/>
          <w:szCs w:val="20"/>
        </w:rPr>
        <w:t xml:space="preserve"> and that funding is currently available</w:t>
      </w:r>
      <w:r w:rsidR="00D97C31">
        <w:rPr>
          <w:rFonts w:cstheme="minorHAnsi"/>
          <w:szCs w:val="20"/>
        </w:rPr>
        <w:t>.</w:t>
      </w:r>
      <w:r w:rsidR="00353A52" w:rsidRPr="00454374">
        <w:rPr>
          <w:rFonts w:cstheme="minorHAnsi"/>
          <w:szCs w:val="20"/>
        </w:rPr>
        <w:t xml:space="preserve"> </w:t>
      </w:r>
    </w:p>
    <w:p w14:paraId="1767AE9A" w14:textId="4899E16D" w:rsidR="00353A52" w:rsidRPr="00454374" w:rsidRDefault="00454374" w:rsidP="00454374">
      <w:pPr>
        <w:ind w:left="720" w:hanging="720"/>
        <w:rPr>
          <w:rFonts w:cstheme="minorHAnsi"/>
          <w:sz w:val="28"/>
          <w:szCs w:val="24"/>
        </w:rPr>
      </w:pPr>
      <w:r w:rsidRPr="00454374">
        <w:rPr>
          <w:rFonts w:cstheme="minorHAnsi"/>
          <w:szCs w:val="20"/>
        </w:rPr>
        <w:t>6.</w:t>
      </w:r>
      <w:r w:rsidR="00004781">
        <w:rPr>
          <w:rFonts w:cstheme="minorHAnsi"/>
          <w:szCs w:val="20"/>
        </w:rPr>
        <w:t>3</w:t>
      </w:r>
      <w:r w:rsidRPr="00454374">
        <w:rPr>
          <w:rFonts w:cstheme="minorHAnsi"/>
          <w:szCs w:val="20"/>
        </w:rPr>
        <w:tab/>
        <w:t>T</w:t>
      </w:r>
      <w:r w:rsidR="00353A52" w:rsidRPr="00454374">
        <w:rPr>
          <w:rFonts w:cstheme="minorHAnsi"/>
          <w:szCs w:val="20"/>
        </w:rPr>
        <w:t xml:space="preserve">he Developer has already invested £5.2 million in the </w:t>
      </w:r>
      <w:r w:rsidRPr="00454374">
        <w:rPr>
          <w:rFonts w:cstheme="minorHAnsi"/>
          <w:szCs w:val="20"/>
        </w:rPr>
        <w:t>s</w:t>
      </w:r>
      <w:r w:rsidR="00353A52" w:rsidRPr="00454374">
        <w:rPr>
          <w:rFonts w:cstheme="minorHAnsi"/>
          <w:szCs w:val="20"/>
        </w:rPr>
        <w:t>cheme</w:t>
      </w:r>
      <w:r w:rsidR="00B40F3A">
        <w:rPr>
          <w:rFonts w:cstheme="minorHAnsi"/>
          <w:szCs w:val="20"/>
        </w:rPr>
        <w:t>.</w:t>
      </w:r>
      <w:r w:rsidR="00EB2B3D">
        <w:rPr>
          <w:rFonts w:cstheme="minorHAnsi"/>
          <w:szCs w:val="20"/>
        </w:rPr>
        <w:t xml:space="preserve"> </w:t>
      </w:r>
    </w:p>
    <w:p w14:paraId="7FA217B8" w14:textId="1494606E" w:rsidR="00353A52" w:rsidRDefault="00454374" w:rsidP="00454374">
      <w:pPr>
        <w:ind w:left="720" w:hanging="720"/>
        <w:rPr>
          <w:rFonts w:cstheme="minorHAnsi"/>
          <w:szCs w:val="20"/>
        </w:rPr>
      </w:pPr>
      <w:r w:rsidRPr="00454374">
        <w:rPr>
          <w:rFonts w:cstheme="minorHAnsi"/>
          <w:szCs w:val="20"/>
        </w:rPr>
        <w:t>6.</w:t>
      </w:r>
      <w:r w:rsidR="00004781">
        <w:rPr>
          <w:rFonts w:cstheme="minorHAnsi"/>
          <w:szCs w:val="20"/>
        </w:rPr>
        <w:t>4</w:t>
      </w:r>
      <w:r w:rsidRPr="00454374">
        <w:rPr>
          <w:rFonts w:cstheme="minorHAnsi"/>
          <w:szCs w:val="20"/>
        </w:rPr>
        <w:tab/>
      </w:r>
      <w:r w:rsidR="00353A52" w:rsidRPr="00454374">
        <w:rPr>
          <w:rFonts w:cstheme="minorHAnsi"/>
          <w:szCs w:val="20"/>
        </w:rPr>
        <w:t>The Developer has confirmed that it has recently reviewed its projected returns</w:t>
      </w:r>
      <w:r w:rsidR="00EB2B3D">
        <w:rPr>
          <w:rFonts w:cstheme="minorHAnsi"/>
          <w:szCs w:val="20"/>
        </w:rPr>
        <w:t xml:space="preserve"> </w:t>
      </w:r>
      <w:r w:rsidR="00353A52" w:rsidRPr="00454374">
        <w:rPr>
          <w:rFonts w:cstheme="minorHAnsi"/>
          <w:szCs w:val="20"/>
        </w:rPr>
        <w:t>from</w:t>
      </w:r>
      <w:r w:rsidRPr="00454374">
        <w:rPr>
          <w:rFonts w:cstheme="minorHAnsi"/>
          <w:szCs w:val="20"/>
        </w:rPr>
        <w:t xml:space="preserve"> </w:t>
      </w:r>
      <w:r w:rsidR="00353A52" w:rsidRPr="00454374">
        <w:rPr>
          <w:rFonts w:cstheme="minorHAnsi"/>
          <w:szCs w:val="20"/>
        </w:rPr>
        <w:t xml:space="preserve">the </w:t>
      </w:r>
      <w:r w:rsidR="00EB2B3D">
        <w:rPr>
          <w:rFonts w:cstheme="minorHAnsi"/>
          <w:szCs w:val="20"/>
        </w:rPr>
        <w:t>Phase 2 S</w:t>
      </w:r>
      <w:r w:rsidR="00353A52" w:rsidRPr="00454374">
        <w:rPr>
          <w:rFonts w:cstheme="minorHAnsi"/>
          <w:szCs w:val="20"/>
        </w:rPr>
        <w:t>cheme and that it remains viable.</w:t>
      </w:r>
    </w:p>
    <w:p w14:paraId="1B442611" w14:textId="01DEA64B" w:rsidR="00DE0D39" w:rsidRPr="00454374" w:rsidRDefault="00DE0D39" w:rsidP="00454374">
      <w:pPr>
        <w:ind w:left="720" w:hanging="720"/>
        <w:rPr>
          <w:rFonts w:cstheme="minorHAnsi"/>
          <w:sz w:val="24"/>
        </w:rPr>
      </w:pPr>
      <w:r>
        <w:rPr>
          <w:rFonts w:cstheme="minorHAnsi"/>
          <w:szCs w:val="20"/>
        </w:rPr>
        <w:t>6.5</w:t>
      </w:r>
      <w:r>
        <w:rPr>
          <w:rFonts w:cstheme="minorHAnsi"/>
          <w:szCs w:val="20"/>
        </w:rPr>
        <w:tab/>
        <w:t xml:space="preserve">The Developer instructed </w:t>
      </w:r>
      <w:proofErr w:type="spellStart"/>
      <w:r>
        <w:rPr>
          <w:rFonts w:cstheme="minorHAnsi"/>
          <w:szCs w:val="20"/>
        </w:rPr>
        <w:t>Terraquest</w:t>
      </w:r>
      <w:proofErr w:type="spellEnd"/>
      <w:r>
        <w:rPr>
          <w:rFonts w:cstheme="minorHAnsi"/>
          <w:szCs w:val="20"/>
        </w:rPr>
        <w:t>, a land referencing company, to prepare a schedule of all the interests in the Order Land in March 2017.</w:t>
      </w:r>
    </w:p>
    <w:p w14:paraId="3E15867F" w14:textId="033A4EBF" w:rsidR="00EF22DC" w:rsidRDefault="007D3BCA" w:rsidP="007D3BCA">
      <w:pPr>
        <w:ind w:left="720" w:hanging="720"/>
      </w:pPr>
      <w:r>
        <w:t>6.</w:t>
      </w:r>
      <w:r w:rsidR="00DE0D39">
        <w:t>6</w:t>
      </w:r>
      <w:r>
        <w:tab/>
        <w:t xml:space="preserve">The Council </w:t>
      </w:r>
      <w:r w:rsidR="00EF22DC">
        <w:t>has been responsible for attempting to acquire the pramsheds required to facilitate the development and delegated responsibility of acquiring the long leasehold interests within Beech Court to the Developer.</w:t>
      </w:r>
    </w:p>
    <w:p w14:paraId="07F5AE8F" w14:textId="4134E91D" w:rsidR="00FF7B1B" w:rsidRDefault="00720B42" w:rsidP="00110821">
      <w:pPr>
        <w:ind w:left="720" w:hanging="720"/>
      </w:pPr>
      <w:r>
        <w:t>6.</w:t>
      </w:r>
      <w:r w:rsidR="00DE0D39">
        <w:t>7</w:t>
      </w:r>
      <w:r>
        <w:tab/>
      </w:r>
      <w:r w:rsidR="00127429">
        <w:t>New Granville LLP</w:t>
      </w:r>
      <w:r w:rsidR="008014ED">
        <w:t xml:space="preserve"> have</w:t>
      </w:r>
      <w:r w:rsidR="00110821">
        <w:t xml:space="preserve"> </w:t>
      </w:r>
      <w:r w:rsidR="00EB2B3D">
        <w:t xml:space="preserve">worked to </w:t>
      </w:r>
      <w:r w:rsidR="00110821">
        <w:t xml:space="preserve">assemble </w:t>
      </w:r>
      <w:r w:rsidR="007D3BCA">
        <w:t xml:space="preserve">the Beech Court interests </w:t>
      </w:r>
      <w:r w:rsidR="00EF22DC">
        <w:t>via off-market transactions and direct negotiation with the individual leaseholders and as a result t</w:t>
      </w:r>
      <w:r w:rsidR="00110821">
        <w:t>he Developer has acquired by agreement the 5 leasehold interests within Beech Court</w:t>
      </w:r>
      <w:r w:rsidR="00B40F3A">
        <w:t>.</w:t>
      </w:r>
      <w:r w:rsidR="00EB2B3D">
        <w:t xml:space="preserve"> </w:t>
      </w:r>
    </w:p>
    <w:p w14:paraId="055C8090" w14:textId="20750BAA" w:rsidR="00EB2B3D" w:rsidRDefault="00EB2B3D" w:rsidP="00110821">
      <w:pPr>
        <w:ind w:left="720" w:hanging="720"/>
      </w:pPr>
      <w:r>
        <w:t>6.</w:t>
      </w:r>
      <w:r w:rsidR="00DE0D39">
        <w:t>8</w:t>
      </w:r>
      <w:r>
        <w:tab/>
      </w:r>
      <w:r w:rsidR="00A9662E">
        <w:t>These</w:t>
      </w:r>
      <w:r w:rsidR="00127429">
        <w:t xml:space="preserve"> units acquired by the LLP are currently vacant and secured, in preparation for works to commence on site.</w:t>
      </w:r>
    </w:p>
    <w:p w14:paraId="5D121B6F" w14:textId="384A89B2" w:rsidR="0041716D" w:rsidRDefault="0041716D" w:rsidP="0041716D">
      <w:pPr>
        <w:ind w:left="720" w:hanging="720"/>
      </w:pPr>
      <w:r>
        <w:t>6.</w:t>
      </w:r>
      <w:r w:rsidR="00DE0D39">
        <w:t>9</w:t>
      </w:r>
      <w:r>
        <w:tab/>
      </w:r>
      <w:r w:rsidR="005C019B">
        <w:t>The Developer has</w:t>
      </w:r>
      <w:r>
        <w:t xml:space="preserve"> undertaken a wide range of activities relating to the sales and marketing of the </w:t>
      </w:r>
      <w:r w:rsidR="00EB2B3D">
        <w:t>private housing that will be delivered as part of the Phase 2 Scheme</w:t>
      </w:r>
      <w:r w:rsidR="00E46260">
        <w:t>.</w:t>
      </w:r>
    </w:p>
    <w:p w14:paraId="6A716372" w14:textId="275D2627" w:rsidR="004B61EA" w:rsidRDefault="004B61EA" w:rsidP="004B61EA">
      <w:pPr>
        <w:ind w:left="720" w:hanging="720"/>
      </w:pPr>
      <w:r>
        <w:t>6.</w:t>
      </w:r>
      <w:r w:rsidR="00DE0D39">
        <w:t>10</w:t>
      </w:r>
      <w:r>
        <w:tab/>
      </w:r>
      <w:r w:rsidRPr="004B61EA">
        <w:t>The Developer has calculated the likely project costs together with an appropriate contingency and these costs have been included in the business plans of the Developer’s constituent companies to ensure that there is sufficient finance available to deliver the Scheme.</w:t>
      </w:r>
    </w:p>
    <w:p w14:paraId="0E6E27B1" w14:textId="72F7371A" w:rsidR="00372178" w:rsidRDefault="00372178" w:rsidP="00372178">
      <w:pPr>
        <w:ind w:left="720" w:hanging="720"/>
      </w:pPr>
      <w:r>
        <w:t>6.</w:t>
      </w:r>
      <w:r w:rsidR="00EF22DC">
        <w:t>1</w:t>
      </w:r>
      <w:r w:rsidR="00DE0D39">
        <w:t>1</w:t>
      </w:r>
      <w:r>
        <w:tab/>
      </w:r>
      <w:r w:rsidR="00B40F3A">
        <w:rPr>
          <w:spacing w:val="-3"/>
        </w:rPr>
        <w:t>There</w:t>
      </w:r>
      <w:r>
        <w:rPr>
          <w:spacing w:val="-5"/>
        </w:rPr>
        <w:t xml:space="preserve"> </w:t>
      </w:r>
      <w:r>
        <w:rPr>
          <w:spacing w:val="1"/>
        </w:rPr>
        <w:t>i</w:t>
      </w:r>
      <w:r>
        <w:t>s</w:t>
      </w:r>
      <w:r>
        <w:rPr>
          <w:spacing w:val="-2"/>
        </w:rPr>
        <w:t xml:space="preserve"> </w:t>
      </w:r>
      <w:r>
        <w:t>a</w:t>
      </w:r>
      <w:r>
        <w:rPr>
          <w:spacing w:val="2"/>
        </w:rPr>
        <w:t xml:space="preserve"> </w:t>
      </w:r>
      <w:r>
        <w:t>very</w:t>
      </w:r>
      <w:r>
        <w:rPr>
          <w:spacing w:val="-3"/>
        </w:rPr>
        <w:t xml:space="preserve"> </w:t>
      </w:r>
      <w:r>
        <w:rPr>
          <w:spacing w:val="-1"/>
        </w:rPr>
        <w:t>s</w:t>
      </w:r>
      <w:r>
        <w:rPr>
          <w:spacing w:val="1"/>
        </w:rPr>
        <w:t>i</w:t>
      </w:r>
      <w:r>
        <w:t>g</w:t>
      </w:r>
      <w:r>
        <w:rPr>
          <w:spacing w:val="1"/>
        </w:rPr>
        <w:t>ni</w:t>
      </w:r>
      <w:r>
        <w:t>f</w:t>
      </w:r>
      <w:r>
        <w:rPr>
          <w:spacing w:val="1"/>
        </w:rPr>
        <w:t>ican</w:t>
      </w:r>
      <w:r>
        <w:t>t</w:t>
      </w:r>
      <w:r>
        <w:rPr>
          <w:spacing w:val="-8"/>
        </w:rPr>
        <w:t xml:space="preserve"> </w:t>
      </w:r>
      <w:r>
        <w:rPr>
          <w:spacing w:val="1"/>
        </w:rPr>
        <w:t>c</w:t>
      </w:r>
      <w:r>
        <w:rPr>
          <w:spacing w:val="-1"/>
        </w:rPr>
        <w:t>o</w:t>
      </w:r>
      <w:r>
        <w:t>mmer</w:t>
      </w:r>
      <w:r>
        <w:rPr>
          <w:spacing w:val="1"/>
        </w:rPr>
        <w:t>cia</w:t>
      </w:r>
      <w:r>
        <w:t>l</w:t>
      </w:r>
      <w:r>
        <w:rPr>
          <w:spacing w:val="-11"/>
        </w:rPr>
        <w:t xml:space="preserve"> </w:t>
      </w:r>
      <w:r>
        <w:rPr>
          <w:spacing w:val="1"/>
        </w:rPr>
        <w:t xml:space="preserve">and </w:t>
      </w:r>
      <w:r>
        <w:t>f</w:t>
      </w:r>
      <w:r>
        <w:rPr>
          <w:spacing w:val="1"/>
        </w:rPr>
        <w:t>inancia</w:t>
      </w:r>
      <w:r>
        <w:t>l</w:t>
      </w:r>
      <w:r>
        <w:rPr>
          <w:spacing w:val="-9"/>
        </w:rPr>
        <w:t xml:space="preserve"> </w:t>
      </w:r>
      <w:r>
        <w:rPr>
          <w:spacing w:val="1"/>
        </w:rPr>
        <w:t>inc</w:t>
      </w:r>
      <w:r>
        <w:t>e</w:t>
      </w:r>
      <w:r>
        <w:rPr>
          <w:spacing w:val="-2"/>
        </w:rPr>
        <w:t>n</w:t>
      </w:r>
      <w:r>
        <w:rPr>
          <w:spacing w:val="2"/>
        </w:rPr>
        <w:t>t</w:t>
      </w:r>
      <w:r>
        <w:rPr>
          <w:spacing w:val="1"/>
        </w:rPr>
        <w:t>i</w:t>
      </w:r>
      <w:r>
        <w:t>ve</w:t>
      </w:r>
      <w:r>
        <w:rPr>
          <w:spacing w:val="-9"/>
        </w:rPr>
        <w:t xml:space="preserve"> </w:t>
      </w:r>
      <w:r>
        <w:t>f</w:t>
      </w:r>
      <w:r>
        <w:rPr>
          <w:spacing w:val="-1"/>
        </w:rPr>
        <w:t>o</w:t>
      </w:r>
      <w:r>
        <w:t>r</w:t>
      </w:r>
      <w:r>
        <w:rPr>
          <w:spacing w:val="-3"/>
        </w:rPr>
        <w:t xml:space="preserve"> </w:t>
      </w:r>
      <w:r>
        <w:rPr>
          <w:spacing w:val="2"/>
        </w:rPr>
        <w:t>t</w:t>
      </w:r>
      <w:r>
        <w:rPr>
          <w:spacing w:val="-2"/>
        </w:rPr>
        <w:t>h</w:t>
      </w:r>
      <w:r>
        <w:t>e</w:t>
      </w:r>
      <w:r>
        <w:rPr>
          <w:spacing w:val="-3"/>
        </w:rPr>
        <w:t xml:space="preserve"> </w:t>
      </w:r>
      <w:r>
        <w:rPr>
          <w:spacing w:val="1"/>
        </w:rPr>
        <w:t>D</w:t>
      </w:r>
      <w:r>
        <w:t>eve</w:t>
      </w:r>
      <w:r>
        <w:rPr>
          <w:spacing w:val="1"/>
        </w:rPr>
        <w:t>l</w:t>
      </w:r>
      <w:r>
        <w:rPr>
          <w:spacing w:val="-1"/>
        </w:rPr>
        <w:t>o</w:t>
      </w:r>
      <w:r>
        <w:rPr>
          <w:spacing w:val="1"/>
        </w:rPr>
        <w:t>p</w:t>
      </w:r>
      <w:r>
        <w:t>er</w:t>
      </w:r>
      <w:r>
        <w:rPr>
          <w:spacing w:val="-10"/>
        </w:rPr>
        <w:t xml:space="preserve"> </w:t>
      </w:r>
      <w:r>
        <w:rPr>
          <w:spacing w:val="2"/>
        </w:rPr>
        <w:t>t</w:t>
      </w:r>
      <w:r>
        <w:t>o</w:t>
      </w:r>
      <w:r>
        <w:rPr>
          <w:spacing w:val="-3"/>
        </w:rPr>
        <w:t xml:space="preserve"> </w:t>
      </w:r>
      <w:r>
        <w:rPr>
          <w:spacing w:val="3"/>
        </w:rPr>
        <w:t>c</w:t>
      </w:r>
      <w:r>
        <w:rPr>
          <w:spacing w:val="-1"/>
        </w:rPr>
        <w:t>o</w:t>
      </w:r>
      <w:r>
        <w:t>m</w:t>
      </w:r>
      <w:r>
        <w:rPr>
          <w:spacing w:val="1"/>
        </w:rPr>
        <w:t>pl</w:t>
      </w:r>
      <w:r>
        <w:t>e</w:t>
      </w:r>
      <w:r>
        <w:rPr>
          <w:spacing w:val="2"/>
        </w:rPr>
        <w:t>t</w:t>
      </w:r>
      <w:r>
        <w:t>e</w:t>
      </w:r>
      <w:r>
        <w:rPr>
          <w:spacing w:val="-9"/>
        </w:rPr>
        <w:t xml:space="preserve"> </w:t>
      </w:r>
      <w:r>
        <w:rPr>
          <w:spacing w:val="2"/>
        </w:rPr>
        <w:t>t</w:t>
      </w:r>
      <w:r>
        <w:rPr>
          <w:spacing w:val="1"/>
        </w:rPr>
        <w:t>h</w:t>
      </w:r>
      <w:r>
        <w:t>e</w:t>
      </w:r>
      <w:r>
        <w:rPr>
          <w:spacing w:val="-3"/>
        </w:rPr>
        <w:t xml:space="preserve"> </w:t>
      </w:r>
      <w:r>
        <w:rPr>
          <w:spacing w:val="-1"/>
        </w:rPr>
        <w:t>S</w:t>
      </w:r>
      <w:r>
        <w:rPr>
          <w:spacing w:val="1"/>
        </w:rPr>
        <w:t>ch</w:t>
      </w:r>
      <w:r>
        <w:t>eme.</w:t>
      </w:r>
      <w:r>
        <w:rPr>
          <w:spacing w:val="-9"/>
        </w:rPr>
        <w:t xml:space="preserve"> </w:t>
      </w:r>
      <w:r>
        <w:rPr>
          <w:spacing w:val="1"/>
        </w:rPr>
        <w:t>C</w:t>
      </w:r>
      <w:r>
        <w:rPr>
          <w:spacing w:val="-1"/>
        </w:rPr>
        <w:t>o</w:t>
      </w:r>
      <w:r>
        <w:rPr>
          <w:spacing w:val="1"/>
        </w:rPr>
        <w:t>n</w:t>
      </w:r>
      <w:r>
        <w:rPr>
          <w:spacing w:val="-1"/>
        </w:rPr>
        <w:t>s</w:t>
      </w:r>
      <w:r>
        <w:t>e</w:t>
      </w:r>
      <w:r>
        <w:rPr>
          <w:spacing w:val="3"/>
        </w:rPr>
        <w:t>q</w:t>
      </w:r>
      <w:r>
        <w:rPr>
          <w:spacing w:val="1"/>
        </w:rPr>
        <w:t>u</w:t>
      </w:r>
      <w:r>
        <w:t>e</w:t>
      </w:r>
      <w:r>
        <w:rPr>
          <w:spacing w:val="1"/>
        </w:rPr>
        <w:t>n</w:t>
      </w:r>
      <w:r>
        <w:rPr>
          <w:spacing w:val="2"/>
        </w:rPr>
        <w:t>t</w:t>
      </w:r>
      <w:r>
        <w:rPr>
          <w:spacing w:val="1"/>
        </w:rPr>
        <w:t>l</w:t>
      </w:r>
      <w:r>
        <w:t>y,</w:t>
      </w:r>
      <w:r>
        <w:rPr>
          <w:spacing w:val="-14"/>
        </w:rPr>
        <w:t xml:space="preserve"> </w:t>
      </w:r>
      <w:r>
        <w:rPr>
          <w:spacing w:val="2"/>
        </w:rPr>
        <w:t>t</w:t>
      </w:r>
      <w:r>
        <w:rPr>
          <w:spacing w:val="1"/>
        </w:rPr>
        <w:t>h</w:t>
      </w:r>
      <w:r>
        <w:t xml:space="preserve">e </w:t>
      </w:r>
      <w:r>
        <w:rPr>
          <w:spacing w:val="1"/>
        </w:rPr>
        <w:t>D</w:t>
      </w:r>
      <w:r>
        <w:t>eve</w:t>
      </w:r>
      <w:r>
        <w:rPr>
          <w:spacing w:val="1"/>
        </w:rPr>
        <w:t>l</w:t>
      </w:r>
      <w:r>
        <w:rPr>
          <w:spacing w:val="-1"/>
        </w:rPr>
        <w:t>o</w:t>
      </w:r>
      <w:r>
        <w:rPr>
          <w:spacing w:val="1"/>
        </w:rPr>
        <w:t>p</w:t>
      </w:r>
      <w:r>
        <w:t>er</w:t>
      </w:r>
      <w:r>
        <w:rPr>
          <w:spacing w:val="-10"/>
        </w:rPr>
        <w:t xml:space="preserve"> </w:t>
      </w:r>
      <w:r>
        <w:rPr>
          <w:spacing w:val="1"/>
        </w:rPr>
        <w:t>i</w:t>
      </w:r>
      <w:r>
        <w:t>s</w:t>
      </w:r>
      <w:r>
        <w:rPr>
          <w:spacing w:val="-2"/>
        </w:rPr>
        <w:t xml:space="preserve"> </w:t>
      </w:r>
      <w:r>
        <w:rPr>
          <w:spacing w:val="3"/>
        </w:rPr>
        <w:t>c</w:t>
      </w:r>
      <w:r>
        <w:rPr>
          <w:spacing w:val="-1"/>
        </w:rPr>
        <w:t>o</w:t>
      </w:r>
      <w:r>
        <w:t>mm</w:t>
      </w:r>
      <w:r>
        <w:rPr>
          <w:spacing w:val="1"/>
        </w:rPr>
        <w:t>i</w:t>
      </w:r>
      <w:r>
        <w:rPr>
          <w:spacing w:val="2"/>
        </w:rPr>
        <w:t>tt</w:t>
      </w:r>
      <w:r>
        <w:t>ed</w:t>
      </w:r>
      <w:r>
        <w:rPr>
          <w:spacing w:val="-11"/>
        </w:rPr>
        <w:t xml:space="preserve"> </w:t>
      </w:r>
      <w:r>
        <w:t>to</w:t>
      </w:r>
      <w:r>
        <w:rPr>
          <w:spacing w:val="-3"/>
        </w:rPr>
        <w:t xml:space="preserve"> </w:t>
      </w:r>
      <w:r>
        <w:rPr>
          <w:spacing w:val="2"/>
        </w:rPr>
        <w:t>t</w:t>
      </w:r>
      <w:r>
        <w:rPr>
          <w:spacing w:val="1"/>
        </w:rPr>
        <w:t>h</w:t>
      </w:r>
      <w:r>
        <w:t>e</w:t>
      </w:r>
      <w:r>
        <w:rPr>
          <w:spacing w:val="-3"/>
        </w:rPr>
        <w:t xml:space="preserve"> </w:t>
      </w:r>
      <w:r>
        <w:rPr>
          <w:spacing w:val="1"/>
        </w:rPr>
        <w:t>c</w:t>
      </w:r>
      <w:r>
        <w:rPr>
          <w:spacing w:val="-1"/>
        </w:rPr>
        <w:t>o</w:t>
      </w:r>
      <w:r>
        <w:t>m</w:t>
      </w:r>
      <w:r>
        <w:rPr>
          <w:spacing w:val="1"/>
        </w:rPr>
        <w:t>pl</w:t>
      </w:r>
      <w:r>
        <w:t>e</w:t>
      </w:r>
      <w:r>
        <w:rPr>
          <w:spacing w:val="2"/>
        </w:rPr>
        <w:t>t</w:t>
      </w:r>
      <w:r>
        <w:rPr>
          <w:spacing w:val="1"/>
        </w:rPr>
        <w:t>i</w:t>
      </w:r>
      <w:r>
        <w:rPr>
          <w:spacing w:val="-1"/>
        </w:rPr>
        <w:t>o</w:t>
      </w:r>
      <w:r>
        <w:t>n</w:t>
      </w:r>
      <w:r>
        <w:rPr>
          <w:spacing w:val="-10"/>
        </w:rPr>
        <w:t xml:space="preserve"> </w:t>
      </w:r>
      <w:r>
        <w:rPr>
          <w:spacing w:val="-1"/>
        </w:rPr>
        <w:t>o</w:t>
      </w:r>
      <w:r>
        <w:t>f</w:t>
      </w:r>
      <w:r>
        <w:rPr>
          <w:spacing w:val="-2"/>
        </w:rPr>
        <w:t xml:space="preserve"> </w:t>
      </w:r>
      <w:r>
        <w:rPr>
          <w:spacing w:val="2"/>
        </w:rPr>
        <w:t>t</w:t>
      </w:r>
      <w:r>
        <w:rPr>
          <w:spacing w:val="1"/>
        </w:rPr>
        <w:t>h</w:t>
      </w:r>
      <w:r>
        <w:t>e</w:t>
      </w:r>
      <w:r>
        <w:rPr>
          <w:spacing w:val="-3"/>
        </w:rPr>
        <w:t xml:space="preserve"> </w:t>
      </w:r>
      <w:r>
        <w:t>scheme.</w:t>
      </w:r>
    </w:p>
    <w:p w14:paraId="706420C6" w14:textId="68886798" w:rsidR="00E46260" w:rsidRDefault="006C458B" w:rsidP="004B61EA">
      <w:pPr>
        <w:ind w:left="720" w:hanging="720"/>
      </w:pPr>
      <w:r>
        <w:t>6.</w:t>
      </w:r>
      <w:r w:rsidR="00004781">
        <w:t>1</w:t>
      </w:r>
      <w:r w:rsidR="00DE0D39">
        <w:t>2</w:t>
      </w:r>
      <w:r>
        <w:tab/>
      </w:r>
      <w:r w:rsidR="00004781">
        <w:t>Application has been made for a</w:t>
      </w:r>
      <w:r>
        <w:t xml:space="preserve"> Stopping Up Order to enable the construction of the scheme. </w:t>
      </w:r>
      <w:r w:rsidR="00C932AF">
        <w:t>This relates to certain</w:t>
      </w:r>
      <w:r>
        <w:t xml:space="preserve"> highways and footpaths within the scheme was publicised on 26 October 2017</w:t>
      </w:r>
      <w:r w:rsidR="00E46260">
        <w:t xml:space="preserve"> and the Developer sees no reason why this should not be granted.</w:t>
      </w:r>
    </w:p>
    <w:p w14:paraId="0AA87E9A" w14:textId="2FA812CF" w:rsidR="00D85780" w:rsidRPr="00D85780" w:rsidRDefault="00D85780" w:rsidP="004B61EA">
      <w:pPr>
        <w:ind w:left="720" w:hanging="720"/>
        <w:rPr>
          <w:b/>
        </w:rPr>
      </w:pPr>
      <w:r>
        <w:t>6.1</w:t>
      </w:r>
      <w:r w:rsidR="00DE0D39">
        <w:t>3</w:t>
      </w:r>
      <w:r>
        <w:tab/>
      </w:r>
      <w:r w:rsidR="00EB2B3D">
        <w:t xml:space="preserve">There </w:t>
      </w:r>
      <w:r w:rsidR="00C932AF">
        <w:t>will be</w:t>
      </w:r>
      <w:r w:rsidR="00EB2B3D">
        <w:t xml:space="preserve"> a need for party wall agreements </w:t>
      </w:r>
      <w:r w:rsidR="00E46260">
        <w:t>and the</w:t>
      </w:r>
      <w:r>
        <w:t xml:space="preserve"> Developer has substantially progressed negotiations regarding </w:t>
      </w:r>
      <w:r w:rsidR="00E46260">
        <w:t>these.</w:t>
      </w:r>
      <w:r>
        <w:t xml:space="preserve"> </w:t>
      </w:r>
    </w:p>
    <w:p w14:paraId="7D0D8999" w14:textId="77777777" w:rsidR="00872779" w:rsidRDefault="00872779">
      <w:pPr>
        <w:spacing w:before="0" w:after="160"/>
      </w:pPr>
      <w:r>
        <w:br w:type="page"/>
      </w:r>
    </w:p>
    <w:p w14:paraId="0B64A081" w14:textId="77777777" w:rsidR="006C458B" w:rsidRDefault="00872779" w:rsidP="00872779">
      <w:pPr>
        <w:pStyle w:val="Heading1"/>
      </w:pPr>
      <w:bookmarkStart w:id="7" w:name="_Toc516156325"/>
      <w:r>
        <w:lastRenderedPageBreak/>
        <w:t>7. Conclusion</w:t>
      </w:r>
      <w:bookmarkEnd w:id="7"/>
    </w:p>
    <w:p w14:paraId="2E6E3A53" w14:textId="77777777" w:rsidR="00872779" w:rsidRDefault="009846E4" w:rsidP="00872779">
      <w:r>
        <w:t>7</w:t>
      </w:r>
      <w:r w:rsidR="00872779">
        <w:t>.1      In my evidence I have:</w:t>
      </w:r>
    </w:p>
    <w:p w14:paraId="55C0443D" w14:textId="77777777" w:rsidR="00872779" w:rsidRDefault="00872779" w:rsidP="00872779">
      <w:pPr>
        <w:pStyle w:val="ListParagraph"/>
        <w:numPr>
          <w:ilvl w:val="0"/>
          <w:numId w:val="4"/>
        </w:numPr>
        <w:ind w:left="1077"/>
        <w:contextualSpacing w:val="0"/>
      </w:pPr>
      <w:r>
        <w:t>Described the structure of the Developer and its arrangements with the Council</w:t>
      </w:r>
    </w:p>
    <w:p w14:paraId="4C06B9F1" w14:textId="77777777" w:rsidR="00872779" w:rsidRDefault="00872779" w:rsidP="00872779">
      <w:pPr>
        <w:pStyle w:val="ListParagraph"/>
        <w:numPr>
          <w:ilvl w:val="0"/>
          <w:numId w:val="4"/>
        </w:numPr>
        <w:ind w:left="1077"/>
        <w:contextualSpacing w:val="0"/>
      </w:pPr>
      <w:r>
        <w:t>Described the experience of the Developer</w:t>
      </w:r>
    </w:p>
    <w:p w14:paraId="39182DF7" w14:textId="77777777" w:rsidR="00872779" w:rsidRDefault="00872779" w:rsidP="00872779">
      <w:pPr>
        <w:pStyle w:val="ListParagraph"/>
        <w:numPr>
          <w:ilvl w:val="0"/>
          <w:numId w:val="4"/>
        </w:numPr>
        <w:ind w:left="1077"/>
        <w:contextualSpacing w:val="0"/>
      </w:pPr>
      <w:r>
        <w:t>Described the Scheme, project phasing and progress to date</w:t>
      </w:r>
    </w:p>
    <w:p w14:paraId="6FA82748" w14:textId="4E9FEB4C" w:rsidR="00872779" w:rsidRDefault="00872779" w:rsidP="00872779">
      <w:pPr>
        <w:pStyle w:val="ListParagraph"/>
        <w:numPr>
          <w:ilvl w:val="0"/>
          <w:numId w:val="4"/>
        </w:numPr>
        <w:ind w:left="1077"/>
        <w:contextualSpacing w:val="0"/>
      </w:pPr>
      <w:r>
        <w:t>Confirmed the Deve</w:t>
      </w:r>
      <w:r w:rsidR="00811DAF">
        <w:t>loper’s commitment to Delivery</w:t>
      </w:r>
    </w:p>
    <w:p w14:paraId="515FE07B" w14:textId="55F27D89" w:rsidR="00C931EF" w:rsidRDefault="00C931EF" w:rsidP="00247CBA">
      <w:pPr>
        <w:ind w:left="720" w:hanging="720"/>
      </w:pPr>
      <w:r>
        <w:t>7.2</w:t>
      </w:r>
      <w:r>
        <w:tab/>
        <w:t xml:space="preserve">I can confirm from the Developer's point of view </w:t>
      </w:r>
      <w:r w:rsidR="00247CBA">
        <w:t xml:space="preserve">that, other than the completion of land assembly </w:t>
      </w:r>
      <w:r>
        <w:t>there are no planning, financial</w:t>
      </w:r>
      <w:r w:rsidR="00247CBA">
        <w:t xml:space="preserve"> or other impediments to the delivery of the Phase 2 Scheme.</w:t>
      </w:r>
      <w:r>
        <w:t xml:space="preserve"> </w:t>
      </w:r>
    </w:p>
    <w:p w14:paraId="6202CDF6" w14:textId="61D70DCE" w:rsidR="00872779" w:rsidRPr="004D4A60" w:rsidRDefault="00872779" w:rsidP="00022FB0">
      <w:pPr>
        <w:pStyle w:val="ListParagraph"/>
        <w:ind w:left="1077"/>
        <w:contextualSpacing w:val="0"/>
        <w:rPr>
          <w:highlight w:val="yellow"/>
        </w:rPr>
      </w:pPr>
      <w:bookmarkStart w:id="8" w:name="_GoBack"/>
      <w:bookmarkEnd w:id="8"/>
    </w:p>
    <w:sectPr w:rsidR="00872779" w:rsidRPr="004D4A60" w:rsidSect="00943E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8AB4D" w14:textId="77777777" w:rsidR="00943E9F" w:rsidRDefault="00943E9F" w:rsidP="00943E9F">
      <w:pPr>
        <w:spacing w:before="0" w:after="0" w:line="240" w:lineRule="auto"/>
      </w:pPr>
      <w:r>
        <w:separator/>
      </w:r>
    </w:p>
  </w:endnote>
  <w:endnote w:type="continuationSeparator" w:id="0">
    <w:p w14:paraId="1DC25B73" w14:textId="77777777" w:rsidR="00943E9F" w:rsidRDefault="00943E9F" w:rsidP="00943E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35959" w14:textId="77777777" w:rsidR="000D1624" w:rsidRDefault="000D1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89065"/>
      <w:docPartObj>
        <w:docPartGallery w:val="Page Numbers (Bottom of Page)"/>
        <w:docPartUnique/>
      </w:docPartObj>
    </w:sdtPr>
    <w:sdtEndPr>
      <w:rPr>
        <w:noProof/>
      </w:rPr>
    </w:sdtEndPr>
    <w:sdtContent>
      <w:p w14:paraId="4DACA1C3" w14:textId="7D5F774D" w:rsidR="00943E9F" w:rsidRDefault="00943E9F" w:rsidP="00943E9F">
        <w:pPr>
          <w:pStyle w:val="Footer"/>
          <w:jc w:val="right"/>
        </w:pPr>
        <w:r>
          <w:fldChar w:fldCharType="begin"/>
        </w:r>
        <w:r>
          <w:instrText xml:space="preserve"> PAGE   \* MERGEFORMAT </w:instrText>
        </w:r>
        <w:r>
          <w:fldChar w:fldCharType="separate"/>
        </w:r>
        <w:r w:rsidR="008D6439">
          <w:rPr>
            <w:noProof/>
          </w:rPr>
          <w:t>8</w:t>
        </w:r>
        <w:r>
          <w:rPr>
            <w:noProof/>
          </w:rPr>
          <w:fldChar w:fldCharType="end"/>
        </w:r>
      </w:p>
    </w:sdtContent>
  </w:sdt>
  <w:p w14:paraId="72C6A34F" w14:textId="77777777" w:rsidR="00943E9F" w:rsidRDefault="00943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BE6C" w14:textId="77777777" w:rsidR="000D1624" w:rsidRDefault="000D1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46753" w14:textId="77777777" w:rsidR="00943E9F" w:rsidRDefault="00943E9F" w:rsidP="00943E9F">
      <w:pPr>
        <w:spacing w:before="0" w:after="0" w:line="240" w:lineRule="auto"/>
      </w:pPr>
      <w:r>
        <w:separator/>
      </w:r>
    </w:p>
  </w:footnote>
  <w:footnote w:type="continuationSeparator" w:id="0">
    <w:p w14:paraId="0B44CACA" w14:textId="77777777" w:rsidR="00943E9F" w:rsidRDefault="00943E9F" w:rsidP="00943E9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2A9AC" w14:textId="77777777" w:rsidR="000D1624" w:rsidRDefault="000D1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A90E4" w14:textId="43039397" w:rsidR="00943E9F" w:rsidRDefault="00EE22E3">
    <w:pPr>
      <w:pStyle w:val="Header"/>
    </w:pPr>
    <w:r>
      <w:t xml:space="preserve">Summary </w:t>
    </w:r>
    <w:r w:rsidR="00943E9F">
      <w:t>Proof of Evidence - New Granville Limited Liability Partnership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CF48D" w14:textId="77777777" w:rsidR="000D1624" w:rsidRDefault="000D1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AF4"/>
    <w:multiLevelType w:val="hybridMultilevel"/>
    <w:tmpl w:val="E3E8DC4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nsid w:val="027E507E"/>
    <w:multiLevelType w:val="hybridMultilevel"/>
    <w:tmpl w:val="6B10DC0A"/>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2">
    <w:nsid w:val="10467CAE"/>
    <w:multiLevelType w:val="hybridMultilevel"/>
    <w:tmpl w:val="213442FC"/>
    <w:lvl w:ilvl="0" w:tplc="B156D5A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A1D18"/>
    <w:multiLevelType w:val="hybridMultilevel"/>
    <w:tmpl w:val="B12A0D04"/>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
    <w:nsid w:val="16916503"/>
    <w:multiLevelType w:val="hybridMultilevel"/>
    <w:tmpl w:val="08BA30E6"/>
    <w:lvl w:ilvl="0" w:tplc="2244E9C4">
      <w:start w:val="1"/>
      <w:numFmt w:val="decimal"/>
      <w:lvlText w:val="%1."/>
      <w:lvlJc w:val="left"/>
      <w:pPr>
        <w:ind w:left="720" w:hanging="360"/>
      </w:pPr>
    </w:lvl>
    <w:lvl w:ilvl="1" w:tplc="34D42B16">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8D302F"/>
    <w:multiLevelType w:val="hybridMultilevel"/>
    <w:tmpl w:val="63B21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6FC53E6"/>
    <w:multiLevelType w:val="hybridMultilevel"/>
    <w:tmpl w:val="D6006936"/>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7">
    <w:nsid w:val="29B6600F"/>
    <w:multiLevelType w:val="hybridMultilevel"/>
    <w:tmpl w:val="EC40E2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F6E438B"/>
    <w:multiLevelType w:val="hybridMultilevel"/>
    <w:tmpl w:val="E2487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21C26A3"/>
    <w:multiLevelType w:val="hybridMultilevel"/>
    <w:tmpl w:val="DB10B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6410C14"/>
    <w:multiLevelType w:val="hybridMultilevel"/>
    <w:tmpl w:val="F93626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3D3F59D5"/>
    <w:multiLevelType w:val="hybridMultilevel"/>
    <w:tmpl w:val="1F7E7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C757054"/>
    <w:multiLevelType w:val="hybridMultilevel"/>
    <w:tmpl w:val="E6BC5776"/>
    <w:lvl w:ilvl="0" w:tplc="B156D5A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1E5621"/>
    <w:multiLevelType w:val="hybridMultilevel"/>
    <w:tmpl w:val="DAFC7C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535774FC"/>
    <w:multiLevelType w:val="hybridMultilevel"/>
    <w:tmpl w:val="7BE0A94E"/>
    <w:lvl w:ilvl="0" w:tplc="08090001">
      <w:start w:val="1"/>
      <w:numFmt w:val="bullet"/>
      <w:lvlText w:val=""/>
      <w:lvlJc w:val="left"/>
      <w:pPr>
        <w:ind w:left="3219" w:hanging="360"/>
      </w:pPr>
      <w:rPr>
        <w:rFonts w:ascii="Symbol" w:hAnsi="Symbol" w:hint="default"/>
      </w:rPr>
    </w:lvl>
    <w:lvl w:ilvl="1" w:tplc="08090003" w:tentative="1">
      <w:start w:val="1"/>
      <w:numFmt w:val="bullet"/>
      <w:lvlText w:val="o"/>
      <w:lvlJc w:val="left"/>
      <w:pPr>
        <w:ind w:left="3939" w:hanging="360"/>
      </w:pPr>
      <w:rPr>
        <w:rFonts w:ascii="Courier New" w:hAnsi="Courier New" w:cs="Courier New" w:hint="default"/>
      </w:rPr>
    </w:lvl>
    <w:lvl w:ilvl="2" w:tplc="08090005" w:tentative="1">
      <w:start w:val="1"/>
      <w:numFmt w:val="bullet"/>
      <w:lvlText w:val=""/>
      <w:lvlJc w:val="left"/>
      <w:pPr>
        <w:ind w:left="4659" w:hanging="360"/>
      </w:pPr>
      <w:rPr>
        <w:rFonts w:ascii="Wingdings" w:hAnsi="Wingdings" w:hint="default"/>
      </w:rPr>
    </w:lvl>
    <w:lvl w:ilvl="3" w:tplc="08090001" w:tentative="1">
      <w:start w:val="1"/>
      <w:numFmt w:val="bullet"/>
      <w:lvlText w:val=""/>
      <w:lvlJc w:val="left"/>
      <w:pPr>
        <w:ind w:left="5379" w:hanging="360"/>
      </w:pPr>
      <w:rPr>
        <w:rFonts w:ascii="Symbol" w:hAnsi="Symbol" w:hint="default"/>
      </w:rPr>
    </w:lvl>
    <w:lvl w:ilvl="4" w:tplc="08090003" w:tentative="1">
      <w:start w:val="1"/>
      <w:numFmt w:val="bullet"/>
      <w:lvlText w:val="o"/>
      <w:lvlJc w:val="left"/>
      <w:pPr>
        <w:ind w:left="6099" w:hanging="360"/>
      </w:pPr>
      <w:rPr>
        <w:rFonts w:ascii="Courier New" w:hAnsi="Courier New" w:cs="Courier New" w:hint="default"/>
      </w:rPr>
    </w:lvl>
    <w:lvl w:ilvl="5" w:tplc="08090005" w:tentative="1">
      <w:start w:val="1"/>
      <w:numFmt w:val="bullet"/>
      <w:lvlText w:val=""/>
      <w:lvlJc w:val="left"/>
      <w:pPr>
        <w:ind w:left="6819" w:hanging="360"/>
      </w:pPr>
      <w:rPr>
        <w:rFonts w:ascii="Wingdings" w:hAnsi="Wingdings" w:hint="default"/>
      </w:rPr>
    </w:lvl>
    <w:lvl w:ilvl="6" w:tplc="08090001" w:tentative="1">
      <w:start w:val="1"/>
      <w:numFmt w:val="bullet"/>
      <w:lvlText w:val=""/>
      <w:lvlJc w:val="left"/>
      <w:pPr>
        <w:ind w:left="7539" w:hanging="360"/>
      </w:pPr>
      <w:rPr>
        <w:rFonts w:ascii="Symbol" w:hAnsi="Symbol" w:hint="default"/>
      </w:rPr>
    </w:lvl>
    <w:lvl w:ilvl="7" w:tplc="08090003" w:tentative="1">
      <w:start w:val="1"/>
      <w:numFmt w:val="bullet"/>
      <w:lvlText w:val="o"/>
      <w:lvlJc w:val="left"/>
      <w:pPr>
        <w:ind w:left="8259" w:hanging="360"/>
      </w:pPr>
      <w:rPr>
        <w:rFonts w:ascii="Courier New" w:hAnsi="Courier New" w:cs="Courier New" w:hint="default"/>
      </w:rPr>
    </w:lvl>
    <w:lvl w:ilvl="8" w:tplc="08090005" w:tentative="1">
      <w:start w:val="1"/>
      <w:numFmt w:val="bullet"/>
      <w:lvlText w:val=""/>
      <w:lvlJc w:val="left"/>
      <w:pPr>
        <w:ind w:left="8979" w:hanging="360"/>
      </w:pPr>
      <w:rPr>
        <w:rFonts w:ascii="Wingdings" w:hAnsi="Wingdings" w:hint="default"/>
      </w:rPr>
    </w:lvl>
  </w:abstractNum>
  <w:abstractNum w:abstractNumId="15">
    <w:nsid w:val="567D3930"/>
    <w:multiLevelType w:val="hybridMultilevel"/>
    <w:tmpl w:val="DC286F76"/>
    <w:lvl w:ilvl="0" w:tplc="08090001">
      <w:start w:val="1"/>
      <w:numFmt w:val="bullet"/>
      <w:lvlText w:val=""/>
      <w:lvlJc w:val="left"/>
      <w:pPr>
        <w:ind w:left="3219" w:hanging="360"/>
      </w:pPr>
      <w:rPr>
        <w:rFonts w:ascii="Symbol" w:hAnsi="Symbol" w:hint="default"/>
        <w:color w:val="000000"/>
      </w:rPr>
    </w:lvl>
    <w:lvl w:ilvl="1" w:tplc="08090003" w:tentative="1">
      <w:start w:val="1"/>
      <w:numFmt w:val="bullet"/>
      <w:lvlText w:val="o"/>
      <w:lvlJc w:val="left"/>
      <w:pPr>
        <w:ind w:left="3939" w:hanging="360"/>
      </w:pPr>
      <w:rPr>
        <w:rFonts w:ascii="Courier New" w:hAnsi="Courier New" w:cs="Courier New" w:hint="default"/>
      </w:rPr>
    </w:lvl>
    <w:lvl w:ilvl="2" w:tplc="08090005" w:tentative="1">
      <w:start w:val="1"/>
      <w:numFmt w:val="bullet"/>
      <w:lvlText w:val=""/>
      <w:lvlJc w:val="left"/>
      <w:pPr>
        <w:ind w:left="4659" w:hanging="360"/>
      </w:pPr>
      <w:rPr>
        <w:rFonts w:ascii="Wingdings" w:hAnsi="Wingdings" w:hint="default"/>
      </w:rPr>
    </w:lvl>
    <w:lvl w:ilvl="3" w:tplc="08090001" w:tentative="1">
      <w:start w:val="1"/>
      <w:numFmt w:val="bullet"/>
      <w:lvlText w:val=""/>
      <w:lvlJc w:val="left"/>
      <w:pPr>
        <w:ind w:left="5379" w:hanging="360"/>
      </w:pPr>
      <w:rPr>
        <w:rFonts w:ascii="Symbol" w:hAnsi="Symbol" w:hint="default"/>
      </w:rPr>
    </w:lvl>
    <w:lvl w:ilvl="4" w:tplc="08090003" w:tentative="1">
      <w:start w:val="1"/>
      <w:numFmt w:val="bullet"/>
      <w:lvlText w:val="o"/>
      <w:lvlJc w:val="left"/>
      <w:pPr>
        <w:ind w:left="6099" w:hanging="360"/>
      </w:pPr>
      <w:rPr>
        <w:rFonts w:ascii="Courier New" w:hAnsi="Courier New" w:cs="Courier New" w:hint="default"/>
      </w:rPr>
    </w:lvl>
    <w:lvl w:ilvl="5" w:tplc="08090005" w:tentative="1">
      <w:start w:val="1"/>
      <w:numFmt w:val="bullet"/>
      <w:lvlText w:val=""/>
      <w:lvlJc w:val="left"/>
      <w:pPr>
        <w:ind w:left="6819" w:hanging="360"/>
      </w:pPr>
      <w:rPr>
        <w:rFonts w:ascii="Wingdings" w:hAnsi="Wingdings" w:hint="default"/>
      </w:rPr>
    </w:lvl>
    <w:lvl w:ilvl="6" w:tplc="08090001" w:tentative="1">
      <w:start w:val="1"/>
      <w:numFmt w:val="bullet"/>
      <w:lvlText w:val=""/>
      <w:lvlJc w:val="left"/>
      <w:pPr>
        <w:ind w:left="7539" w:hanging="360"/>
      </w:pPr>
      <w:rPr>
        <w:rFonts w:ascii="Symbol" w:hAnsi="Symbol" w:hint="default"/>
      </w:rPr>
    </w:lvl>
    <w:lvl w:ilvl="7" w:tplc="08090003" w:tentative="1">
      <w:start w:val="1"/>
      <w:numFmt w:val="bullet"/>
      <w:lvlText w:val="o"/>
      <w:lvlJc w:val="left"/>
      <w:pPr>
        <w:ind w:left="8259" w:hanging="360"/>
      </w:pPr>
      <w:rPr>
        <w:rFonts w:ascii="Courier New" w:hAnsi="Courier New" w:cs="Courier New" w:hint="default"/>
      </w:rPr>
    </w:lvl>
    <w:lvl w:ilvl="8" w:tplc="08090005" w:tentative="1">
      <w:start w:val="1"/>
      <w:numFmt w:val="bullet"/>
      <w:lvlText w:val=""/>
      <w:lvlJc w:val="left"/>
      <w:pPr>
        <w:ind w:left="8979" w:hanging="360"/>
      </w:pPr>
      <w:rPr>
        <w:rFonts w:ascii="Wingdings" w:hAnsi="Wingdings" w:hint="default"/>
      </w:rPr>
    </w:lvl>
  </w:abstractNum>
  <w:abstractNum w:abstractNumId="16">
    <w:nsid w:val="61AE0D8F"/>
    <w:multiLevelType w:val="hybridMultilevel"/>
    <w:tmpl w:val="C408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E70D54"/>
    <w:multiLevelType w:val="hybridMultilevel"/>
    <w:tmpl w:val="12F0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A347F5"/>
    <w:multiLevelType w:val="hybridMultilevel"/>
    <w:tmpl w:val="6696E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2F90BD9"/>
    <w:multiLevelType w:val="hybridMultilevel"/>
    <w:tmpl w:val="6AD605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74C34117"/>
    <w:multiLevelType w:val="hybridMultilevel"/>
    <w:tmpl w:val="7F4AB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4"/>
  </w:num>
  <w:num w:numId="4">
    <w:abstractNumId w:val="12"/>
  </w:num>
  <w:num w:numId="5">
    <w:abstractNumId w:val="17"/>
  </w:num>
  <w:num w:numId="6">
    <w:abstractNumId w:val="15"/>
  </w:num>
  <w:num w:numId="7">
    <w:abstractNumId w:val="5"/>
  </w:num>
  <w:num w:numId="8">
    <w:abstractNumId w:val="1"/>
  </w:num>
  <w:num w:numId="9">
    <w:abstractNumId w:val="14"/>
  </w:num>
  <w:num w:numId="10">
    <w:abstractNumId w:val="20"/>
  </w:num>
  <w:num w:numId="11">
    <w:abstractNumId w:val="18"/>
  </w:num>
  <w:num w:numId="12">
    <w:abstractNumId w:val="8"/>
  </w:num>
  <w:num w:numId="13">
    <w:abstractNumId w:val="13"/>
  </w:num>
  <w:num w:numId="14">
    <w:abstractNumId w:val="6"/>
  </w:num>
  <w:num w:numId="15">
    <w:abstractNumId w:val="11"/>
  </w:num>
  <w:num w:numId="16">
    <w:abstractNumId w:val="19"/>
  </w:num>
  <w:num w:numId="17">
    <w:abstractNumId w:val="10"/>
  </w:num>
  <w:num w:numId="18">
    <w:abstractNumId w:val="0"/>
  </w:num>
  <w:num w:numId="19">
    <w:abstractNumId w:val="3"/>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9F"/>
    <w:rsid w:val="00004781"/>
    <w:rsid w:val="00022E47"/>
    <w:rsid w:val="00022FB0"/>
    <w:rsid w:val="00030697"/>
    <w:rsid w:val="00031D91"/>
    <w:rsid w:val="0004595A"/>
    <w:rsid w:val="000516FF"/>
    <w:rsid w:val="000527F7"/>
    <w:rsid w:val="00097E3D"/>
    <w:rsid w:val="000C61A4"/>
    <w:rsid w:val="000D1624"/>
    <w:rsid w:val="000F2517"/>
    <w:rsid w:val="000F71CC"/>
    <w:rsid w:val="00104586"/>
    <w:rsid w:val="00110821"/>
    <w:rsid w:val="0011619E"/>
    <w:rsid w:val="00122316"/>
    <w:rsid w:val="00127429"/>
    <w:rsid w:val="00137FE6"/>
    <w:rsid w:val="001405ED"/>
    <w:rsid w:val="0015740E"/>
    <w:rsid w:val="00162911"/>
    <w:rsid w:val="00163C73"/>
    <w:rsid w:val="0017577B"/>
    <w:rsid w:val="001771CD"/>
    <w:rsid w:val="001A6E5E"/>
    <w:rsid w:val="001B79F6"/>
    <w:rsid w:val="001C09E3"/>
    <w:rsid w:val="001D09F7"/>
    <w:rsid w:val="001D675B"/>
    <w:rsid w:val="001F649D"/>
    <w:rsid w:val="0024623E"/>
    <w:rsid w:val="00247CBA"/>
    <w:rsid w:val="002815DD"/>
    <w:rsid w:val="00291A54"/>
    <w:rsid w:val="00291F96"/>
    <w:rsid w:val="00292F01"/>
    <w:rsid w:val="00307C32"/>
    <w:rsid w:val="00327925"/>
    <w:rsid w:val="00353A52"/>
    <w:rsid w:val="003711F1"/>
    <w:rsid w:val="00372178"/>
    <w:rsid w:val="00382A50"/>
    <w:rsid w:val="003910A1"/>
    <w:rsid w:val="00391545"/>
    <w:rsid w:val="003B235B"/>
    <w:rsid w:val="003E74EF"/>
    <w:rsid w:val="003F18AA"/>
    <w:rsid w:val="004052CA"/>
    <w:rsid w:val="0040571D"/>
    <w:rsid w:val="0041716D"/>
    <w:rsid w:val="00417D9D"/>
    <w:rsid w:val="004258E9"/>
    <w:rsid w:val="004373A8"/>
    <w:rsid w:val="00442963"/>
    <w:rsid w:val="00454374"/>
    <w:rsid w:val="00463B3D"/>
    <w:rsid w:val="004753E6"/>
    <w:rsid w:val="004B61EA"/>
    <w:rsid w:val="004D4A60"/>
    <w:rsid w:val="005049F1"/>
    <w:rsid w:val="005221EB"/>
    <w:rsid w:val="00533195"/>
    <w:rsid w:val="00551BFC"/>
    <w:rsid w:val="005C019B"/>
    <w:rsid w:val="005C6599"/>
    <w:rsid w:val="005E18C5"/>
    <w:rsid w:val="005F1D38"/>
    <w:rsid w:val="00656D6C"/>
    <w:rsid w:val="00662C7D"/>
    <w:rsid w:val="0067506A"/>
    <w:rsid w:val="00695824"/>
    <w:rsid w:val="006A136A"/>
    <w:rsid w:val="006C458B"/>
    <w:rsid w:val="006D4428"/>
    <w:rsid w:val="0071333D"/>
    <w:rsid w:val="00720B42"/>
    <w:rsid w:val="0074674C"/>
    <w:rsid w:val="0075269D"/>
    <w:rsid w:val="00760260"/>
    <w:rsid w:val="00786049"/>
    <w:rsid w:val="007A71CC"/>
    <w:rsid w:val="007D3BCA"/>
    <w:rsid w:val="008014ED"/>
    <w:rsid w:val="00803863"/>
    <w:rsid w:val="00811DAF"/>
    <w:rsid w:val="00815D95"/>
    <w:rsid w:val="00831379"/>
    <w:rsid w:val="008360F6"/>
    <w:rsid w:val="00852E0A"/>
    <w:rsid w:val="00863F80"/>
    <w:rsid w:val="008707F8"/>
    <w:rsid w:val="00872779"/>
    <w:rsid w:val="0089399C"/>
    <w:rsid w:val="008B6700"/>
    <w:rsid w:val="008C3A3F"/>
    <w:rsid w:val="008D5461"/>
    <w:rsid w:val="008D6439"/>
    <w:rsid w:val="008E22E4"/>
    <w:rsid w:val="008F6B35"/>
    <w:rsid w:val="008F71AF"/>
    <w:rsid w:val="00900A27"/>
    <w:rsid w:val="00916469"/>
    <w:rsid w:val="00943E9F"/>
    <w:rsid w:val="0094427F"/>
    <w:rsid w:val="00945745"/>
    <w:rsid w:val="009846E4"/>
    <w:rsid w:val="00997ACF"/>
    <w:rsid w:val="009A3351"/>
    <w:rsid w:val="009C60F1"/>
    <w:rsid w:val="009D74D8"/>
    <w:rsid w:val="009F7055"/>
    <w:rsid w:val="00A65AB9"/>
    <w:rsid w:val="00A76A68"/>
    <w:rsid w:val="00A777CE"/>
    <w:rsid w:val="00A9662E"/>
    <w:rsid w:val="00AA54EF"/>
    <w:rsid w:val="00AA61DD"/>
    <w:rsid w:val="00AC52C7"/>
    <w:rsid w:val="00B05F17"/>
    <w:rsid w:val="00B15367"/>
    <w:rsid w:val="00B1659A"/>
    <w:rsid w:val="00B358D0"/>
    <w:rsid w:val="00B40F3A"/>
    <w:rsid w:val="00B4248A"/>
    <w:rsid w:val="00B424A1"/>
    <w:rsid w:val="00B52962"/>
    <w:rsid w:val="00B739CE"/>
    <w:rsid w:val="00BC0410"/>
    <w:rsid w:val="00BD7947"/>
    <w:rsid w:val="00BE2432"/>
    <w:rsid w:val="00C12CD1"/>
    <w:rsid w:val="00C32A08"/>
    <w:rsid w:val="00C35519"/>
    <w:rsid w:val="00C44019"/>
    <w:rsid w:val="00C45AE5"/>
    <w:rsid w:val="00C50540"/>
    <w:rsid w:val="00C6593A"/>
    <w:rsid w:val="00C931EF"/>
    <w:rsid w:val="00C932AF"/>
    <w:rsid w:val="00CA6D45"/>
    <w:rsid w:val="00CE529A"/>
    <w:rsid w:val="00D10ADE"/>
    <w:rsid w:val="00D4013F"/>
    <w:rsid w:val="00D83B64"/>
    <w:rsid w:val="00D85780"/>
    <w:rsid w:val="00D97C31"/>
    <w:rsid w:val="00DA798E"/>
    <w:rsid w:val="00DB0B6C"/>
    <w:rsid w:val="00DB276E"/>
    <w:rsid w:val="00DB3A82"/>
    <w:rsid w:val="00DC0D54"/>
    <w:rsid w:val="00DD5D88"/>
    <w:rsid w:val="00DE0D39"/>
    <w:rsid w:val="00E01467"/>
    <w:rsid w:val="00E45152"/>
    <w:rsid w:val="00E46260"/>
    <w:rsid w:val="00E71A6D"/>
    <w:rsid w:val="00E83321"/>
    <w:rsid w:val="00E954C0"/>
    <w:rsid w:val="00E97857"/>
    <w:rsid w:val="00EB2B3D"/>
    <w:rsid w:val="00ED7C35"/>
    <w:rsid w:val="00EE1AC9"/>
    <w:rsid w:val="00EE22E3"/>
    <w:rsid w:val="00EE28BB"/>
    <w:rsid w:val="00EF1CD6"/>
    <w:rsid w:val="00EF22DC"/>
    <w:rsid w:val="00F72296"/>
    <w:rsid w:val="00FD19FE"/>
    <w:rsid w:val="00FD4B8E"/>
    <w:rsid w:val="00FF0591"/>
    <w:rsid w:val="00FF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0D4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9D"/>
    <w:pPr>
      <w:spacing w:before="120" w:after="280"/>
    </w:pPr>
  </w:style>
  <w:style w:type="paragraph" w:styleId="Heading1">
    <w:name w:val="heading 1"/>
    <w:basedOn w:val="Normal"/>
    <w:next w:val="Normal"/>
    <w:link w:val="Heading1Char"/>
    <w:uiPriority w:val="9"/>
    <w:qFormat/>
    <w:rsid w:val="00F72296"/>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3E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3E9F"/>
    <w:rPr>
      <w:rFonts w:eastAsiaTheme="minorEastAsia"/>
      <w:lang w:val="en-US"/>
    </w:rPr>
  </w:style>
  <w:style w:type="paragraph" w:styleId="Header">
    <w:name w:val="header"/>
    <w:basedOn w:val="Normal"/>
    <w:link w:val="HeaderChar"/>
    <w:uiPriority w:val="99"/>
    <w:unhideWhenUsed/>
    <w:rsid w:val="0094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9F"/>
  </w:style>
  <w:style w:type="paragraph" w:styleId="Footer">
    <w:name w:val="footer"/>
    <w:basedOn w:val="Normal"/>
    <w:link w:val="FooterChar"/>
    <w:uiPriority w:val="99"/>
    <w:unhideWhenUsed/>
    <w:rsid w:val="0094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9F"/>
  </w:style>
  <w:style w:type="character" w:customStyle="1" w:styleId="Heading1Char">
    <w:name w:val="Heading 1 Char"/>
    <w:basedOn w:val="DefaultParagraphFont"/>
    <w:link w:val="Heading1"/>
    <w:uiPriority w:val="9"/>
    <w:rsid w:val="00F722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3E9F"/>
    <w:pPr>
      <w:outlineLvl w:val="9"/>
    </w:pPr>
    <w:rPr>
      <w:lang w:val="en-US"/>
    </w:rPr>
  </w:style>
  <w:style w:type="character" w:customStyle="1" w:styleId="Heading2Char">
    <w:name w:val="Heading 2 Char"/>
    <w:basedOn w:val="DefaultParagraphFont"/>
    <w:link w:val="Heading2"/>
    <w:uiPriority w:val="9"/>
    <w:rsid w:val="00417D9D"/>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17D9D"/>
    <w:pPr>
      <w:spacing w:after="100"/>
    </w:pPr>
  </w:style>
  <w:style w:type="paragraph" w:styleId="TOC2">
    <w:name w:val="toc 2"/>
    <w:basedOn w:val="Normal"/>
    <w:next w:val="Normal"/>
    <w:autoRedefine/>
    <w:uiPriority w:val="39"/>
    <w:unhideWhenUsed/>
    <w:rsid w:val="00417D9D"/>
    <w:pPr>
      <w:spacing w:after="100"/>
      <w:ind w:left="220"/>
    </w:pPr>
  </w:style>
  <w:style w:type="character" w:styleId="Hyperlink">
    <w:name w:val="Hyperlink"/>
    <w:basedOn w:val="DefaultParagraphFont"/>
    <w:uiPriority w:val="99"/>
    <w:unhideWhenUsed/>
    <w:rsid w:val="00417D9D"/>
    <w:rPr>
      <w:color w:val="0563C1" w:themeColor="hyperlink"/>
      <w:u w:val="single"/>
    </w:rPr>
  </w:style>
  <w:style w:type="paragraph" w:styleId="ListParagraph">
    <w:name w:val="List Paragraph"/>
    <w:basedOn w:val="Normal"/>
    <w:uiPriority w:val="34"/>
    <w:qFormat/>
    <w:rsid w:val="00417D9D"/>
    <w:pPr>
      <w:ind w:left="720"/>
      <w:contextualSpacing/>
    </w:pPr>
  </w:style>
  <w:style w:type="character" w:styleId="CommentReference">
    <w:name w:val="annotation reference"/>
    <w:basedOn w:val="DefaultParagraphFont"/>
    <w:uiPriority w:val="99"/>
    <w:semiHidden/>
    <w:unhideWhenUsed/>
    <w:rsid w:val="00FD19FE"/>
    <w:rPr>
      <w:sz w:val="16"/>
      <w:szCs w:val="16"/>
    </w:rPr>
  </w:style>
  <w:style w:type="paragraph" w:styleId="CommentText">
    <w:name w:val="annotation text"/>
    <w:basedOn w:val="Normal"/>
    <w:link w:val="CommentTextChar"/>
    <w:uiPriority w:val="99"/>
    <w:semiHidden/>
    <w:unhideWhenUsed/>
    <w:rsid w:val="00FD19FE"/>
    <w:pPr>
      <w:spacing w:line="240" w:lineRule="auto"/>
    </w:pPr>
    <w:rPr>
      <w:sz w:val="20"/>
      <w:szCs w:val="20"/>
    </w:rPr>
  </w:style>
  <w:style w:type="character" w:customStyle="1" w:styleId="CommentTextChar">
    <w:name w:val="Comment Text Char"/>
    <w:basedOn w:val="DefaultParagraphFont"/>
    <w:link w:val="CommentText"/>
    <w:uiPriority w:val="99"/>
    <w:semiHidden/>
    <w:rsid w:val="00FD19FE"/>
    <w:rPr>
      <w:sz w:val="20"/>
      <w:szCs w:val="20"/>
    </w:rPr>
  </w:style>
  <w:style w:type="paragraph" w:styleId="CommentSubject">
    <w:name w:val="annotation subject"/>
    <w:basedOn w:val="CommentText"/>
    <w:next w:val="CommentText"/>
    <w:link w:val="CommentSubjectChar"/>
    <w:uiPriority w:val="99"/>
    <w:semiHidden/>
    <w:unhideWhenUsed/>
    <w:rsid w:val="00FD19FE"/>
    <w:rPr>
      <w:b/>
      <w:bCs/>
    </w:rPr>
  </w:style>
  <w:style w:type="character" w:customStyle="1" w:styleId="CommentSubjectChar">
    <w:name w:val="Comment Subject Char"/>
    <w:basedOn w:val="CommentTextChar"/>
    <w:link w:val="CommentSubject"/>
    <w:uiPriority w:val="99"/>
    <w:semiHidden/>
    <w:rsid w:val="00FD19FE"/>
    <w:rPr>
      <w:b/>
      <w:bCs/>
      <w:sz w:val="20"/>
      <w:szCs w:val="20"/>
    </w:rPr>
  </w:style>
  <w:style w:type="paragraph" w:styleId="BalloonText">
    <w:name w:val="Balloon Text"/>
    <w:basedOn w:val="Normal"/>
    <w:link w:val="BalloonTextChar"/>
    <w:uiPriority w:val="99"/>
    <w:semiHidden/>
    <w:unhideWhenUsed/>
    <w:rsid w:val="00FD19F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9D"/>
    <w:pPr>
      <w:spacing w:before="120" w:after="280"/>
    </w:pPr>
  </w:style>
  <w:style w:type="paragraph" w:styleId="Heading1">
    <w:name w:val="heading 1"/>
    <w:basedOn w:val="Normal"/>
    <w:next w:val="Normal"/>
    <w:link w:val="Heading1Char"/>
    <w:uiPriority w:val="9"/>
    <w:qFormat/>
    <w:rsid w:val="00F72296"/>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3E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3E9F"/>
    <w:rPr>
      <w:rFonts w:eastAsiaTheme="minorEastAsia"/>
      <w:lang w:val="en-US"/>
    </w:rPr>
  </w:style>
  <w:style w:type="paragraph" w:styleId="Header">
    <w:name w:val="header"/>
    <w:basedOn w:val="Normal"/>
    <w:link w:val="HeaderChar"/>
    <w:uiPriority w:val="99"/>
    <w:unhideWhenUsed/>
    <w:rsid w:val="0094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9F"/>
  </w:style>
  <w:style w:type="paragraph" w:styleId="Footer">
    <w:name w:val="footer"/>
    <w:basedOn w:val="Normal"/>
    <w:link w:val="FooterChar"/>
    <w:uiPriority w:val="99"/>
    <w:unhideWhenUsed/>
    <w:rsid w:val="0094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9F"/>
  </w:style>
  <w:style w:type="character" w:customStyle="1" w:styleId="Heading1Char">
    <w:name w:val="Heading 1 Char"/>
    <w:basedOn w:val="DefaultParagraphFont"/>
    <w:link w:val="Heading1"/>
    <w:uiPriority w:val="9"/>
    <w:rsid w:val="00F722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3E9F"/>
    <w:pPr>
      <w:outlineLvl w:val="9"/>
    </w:pPr>
    <w:rPr>
      <w:lang w:val="en-US"/>
    </w:rPr>
  </w:style>
  <w:style w:type="character" w:customStyle="1" w:styleId="Heading2Char">
    <w:name w:val="Heading 2 Char"/>
    <w:basedOn w:val="DefaultParagraphFont"/>
    <w:link w:val="Heading2"/>
    <w:uiPriority w:val="9"/>
    <w:rsid w:val="00417D9D"/>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17D9D"/>
    <w:pPr>
      <w:spacing w:after="100"/>
    </w:pPr>
  </w:style>
  <w:style w:type="paragraph" w:styleId="TOC2">
    <w:name w:val="toc 2"/>
    <w:basedOn w:val="Normal"/>
    <w:next w:val="Normal"/>
    <w:autoRedefine/>
    <w:uiPriority w:val="39"/>
    <w:unhideWhenUsed/>
    <w:rsid w:val="00417D9D"/>
    <w:pPr>
      <w:spacing w:after="100"/>
      <w:ind w:left="220"/>
    </w:pPr>
  </w:style>
  <w:style w:type="character" w:styleId="Hyperlink">
    <w:name w:val="Hyperlink"/>
    <w:basedOn w:val="DefaultParagraphFont"/>
    <w:uiPriority w:val="99"/>
    <w:unhideWhenUsed/>
    <w:rsid w:val="00417D9D"/>
    <w:rPr>
      <w:color w:val="0563C1" w:themeColor="hyperlink"/>
      <w:u w:val="single"/>
    </w:rPr>
  </w:style>
  <w:style w:type="paragraph" w:styleId="ListParagraph">
    <w:name w:val="List Paragraph"/>
    <w:basedOn w:val="Normal"/>
    <w:uiPriority w:val="34"/>
    <w:qFormat/>
    <w:rsid w:val="00417D9D"/>
    <w:pPr>
      <w:ind w:left="720"/>
      <w:contextualSpacing/>
    </w:pPr>
  </w:style>
  <w:style w:type="character" w:styleId="CommentReference">
    <w:name w:val="annotation reference"/>
    <w:basedOn w:val="DefaultParagraphFont"/>
    <w:uiPriority w:val="99"/>
    <w:semiHidden/>
    <w:unhideWhenUsed/>
    <w:rsid w:val="00FD19FE"/>
    <w:rPr>
      <w:sz w:val="16"/>
      <w:szCs w:val="16"/>
    </w:rPr>
  </w:style>
  <w:style w:type="paragraph" w:styleId="CommentText">
    <w:name w:val="annotation text"/>
    <w:basedOn w:val="Normal"/>
    <w:link w:val="CommentTextChar"/>
    <w:uiPriority w:val="99"/>
    <w:semiHidden/>
    <w:unhideWhenUsed/>
    <w:rsid w:val="00FD19FE"/>
    <w:pPr>
      <w:spacing w:line="240" w:lineRule="auto"/>
    </w:pPr>
    <w:rPr>
      <w:sz w:val="20"/>
      <w:szCs w:val="20"/>
    </w:rPr>
  </w:style>
  <w:style w:type="character" w:customStyle="1" w:styleId="CommentTextChar">
    <w:name w:val="Comment Text Char"/>
    <w:basedOn w:val="DefaultParagraphFont"/>
    <w:link w:val="CommentText"/>
    <w:uiPriority w:val="99"/>
    <w:semiHidden/>
    <w:rsid w:val="00FD19FE"/>
    <w:rPr>
      <w:sz w:val="20"/>
      <w:szCs w:val="20"/>
    </w:rPr>
  </w:style>
  <w:style w:type="paragraph" w:styleId="CommentSubject">
    <w:name w:val="annotation subject"/>
    <w:basedOn w:val="CommentText"/>
    <w:next w:val="CommentText"/>
    <w:link w:val="CommentSubjectChar"/>
    <w:uiPriority w:val="99"/>
    <w:semiHidden/>
    <w:unhideWhenUsed/>
    <w:rsid w:val="00FD19FE"/>
    <w:rPr>
      <w:b/>
      <w:bCs/>
    </w:rPr>
  </w:style>
  <w:style w:type="character" w:customStyle="1" w:styleId="CommentSubjectChar">
    <w:name w:val="Comment Subject Char"/>
    <w:basedOn w:val="CommentTextChar"/>
    <w:link w:val="CommentSubject"/>
    <w:uiPriority w:val="99"/>
    <w:semiHidden/>
    <w:rsid w:val="00FD19FE"/>
    <w:rPr>
      <w:b/>
      <w:bCs/>
      <w:sz w:val="20"/>
      <w:szCs w:val="20"/>
    </w:rPr>
  </w:style>
  <w:style w:type="paragraph" w:styleId="BalloonText">
    <w:name w:val="Balloon Text"/>
    <w:basedOn w:val="Normal"/>
    <w:link w:val="BalloonTextChar"/>
    <w:uiPriority w:val="99"/>
    <w:semiHidden/>
    <w:unhideWhenUsed/>
    <w:rsid w:val="00FD19F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516">
      <w:bodyDiv w:val="1"/>
      <w:marLeft w:val="0"/>
      <w:marRight w:val="0"/>
      <w:marTop w:val="0"/>
      <w:marBottom w:val="0"/>
      <w:divBdr>
        <w:top w:val="none" w:sz="0" w:space="0" w:color="auto"/>
        <w:left w:val="none" w:sz="0" w:space="0" w:color="auto"/>
        <w:bottom w:val="none" w:sz="0" w:space="0" w:color="auto"/>
        <w:right w:val="none" w:sz="0" w:space="0" w:color="auto"/>
      </w:divBdr>
    </w:div>
    <w:div w:id="13174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C5"/>
    <w:rsid w:val="005325FB"/>
    <w:rsid w:val="00830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B8F53BFBB4DB68A1C7E7E258EC609">
    <w:name w:val="398B8F53BFBB4DB68A1C7E7E258EC609"/>
    <w:rsid w:val="008306C5"/>
  </w:style>
  <w:style w:type="paragraph" w:customStyle="1" w:styleId="102C0BB2AD1C451C95999F2A8D7A3F0C">
    <w:name w:val="102C0BB2AD1C451C95999F2A8D7A3F0C"/>
    <w:rsid w:val="008306C5"/>
  </w:style>
  <w:style w:type="paragraph" w:customStyle="1" w:styleId="87FC75AE04824E00B75F6B127C0E3447">
    <w:name w:val="87FC75AE04824E00B75F6B127C0E3447"/>
    <w:rsid w:val="008306C5"/>
  </w:style>
  <w:style w:type="paragraph" w:customStyle="1" w:styleId="EC8A6521F4E5434E8D4A42ECF79A054D">
    <w:name w:val="EC8A6521F4E5434E8D4A42ECF79A054D"/>
    <w:rsid w:val="008306C5"/>
  </w:style>
  <w:style w:type="paragraph" w:customStyle="1" w:styleId="3243DB1B77CA4BCC8BB339249274F67E">
    <w:name w:val="3243DB1B77CA4BCC8BB339249274F67E"/>
    <w:rsid w:val="008306C5"/>
  </w:style>
  <w:style w:type="paragraph" w:customStyle="1" w:styleId="4BFB6E7F0DEB452F84237455FEEB5412">
    <w:name w:val="4BFB6E7F0DEB452F84237455FEEB5412"/>
    <w:rsid w:val="008306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B8F53BFBB4DB68A1C7E7E258EC609">
    <w:name w:val="398B8F53BFBB4DB68A1C7E7E258EC609"/>
    <w:rsid w:val="008306C5"/>
  </w:style>
  <w:style w:type="paragraph" w:customStyle="1" w:styleId="102C0BB2AD1C451C95999F2A8D7A3F0C">
    <w:name w:val="102C0BB2AD1C451C95999F2A8D7A3F0C"/>
    <w:rsid w:val="008306C5"/>
  </w:style>
  <w:style w:type="paragraph" w:customStyle="1" w:styleId="87FC75AE04824E00B75F6B127C0E3447">
    <w:name w:val="87FC75AE04824E00B75F6B127C0E3447"/>
    <w:rsid w:val="008306C5"/>
  </w:style>
  <w:style w:type="paragraph" w:customStyle="1" w:styleId="EC8A6521F4E5434E8D4A42ECF79A054D">
    <w:name w:val="EC8A6521F4E5434E8D4A42ECF79A054D"/>
    <w:rsid w:val="008306C5"/>
  </w:style>
  <w:style w:type="paragraph" w:customStyle="1" w:styleId="3243DB1B77CA4BCC8BB339249274F67E">
    <w:name w:val="3243DB1B77CA4BCC8BB339249274F67E"/>
    <w:rsid w:val="008306C5"/>
  </w:style>
  <w:style w:type="paragraph" w:customStyle="1" w:styleId="4BFB6E7F0DEB452F84237455FEEB5412">
    <w:name w:val="4BFB6E7F0DEB452F84237455FEEB5412"/>
    <w:rsid w:val="00830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1ECE8-207A-4627-8FAD-02B4E2FF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Summary Proof of Evidence</vt:lpstr>
    </vt:vector>
  </TitlesOfParts>
  <Company>New Granville Limited Liability Partnership</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Proof of Evidence</dc:title>
  <dc:subject>THE LONDON BOROUGH OF BARNET (GRANVILLE ROAD ESTATE) COMPULSORY PURCHASE ORDER 2018</dc:subject>
  <dc:creator>Ross Williams</dc:creator>
  <cp:keywords/>
  <dc:description/>
  <cp:lastModifiedBy>Fergus Charlton</cp:lastModifiedBy>
  <cp:revision>8</cp:revision>
  <cp:lastPrinted>2018-06-15T08:24:00Z</cp:lastPrinted>
  <dcterms:created xsi:type="dcterms:W3CDTF">2018-06-19T13:37:00Z</dcterms:created>
  <dcterms:modified xsi:type="dcterms:W3CDTF">2018-06-22T11:46:00Z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46790005.2</vt:lpwstr>
  </property>
</Properties>
</file>